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cèdre et eucalyptus</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49P1-T0YV-P00G-03PV</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Code du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PC-2353959</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Recharge pour diffuseur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Liquide et vapeurs inflammables. 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Liquide et vapeurs inflammables.</w:t>
              <w:b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P210 - Tenir à l’écart de la chaleur, des surfaces chaudes, des étincelles, des flammes nues et de toute autre source d’inflammation. Ne pas fumer.</w:t>
              <w:br/>
              <w:t>P305+P351+P338 - EN CAS DE CONTACT AVEC LES YEUX: Rincer avec précaution à l’eau pendant plusieurs minutes. Enlever les lentilles de contact si la victime en porte et si elles peuvent être facilement enlevées. Continuer à rincer.</w:t>
              <w:br/>
              <w:t>P333+P313 - En cas d’irritation ou d’éruption cutanée: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CITRONELLOL, GERANYL ACETATE, linalyl acetate, linalool, EUGENOL, EUCALYPTOL.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alcohol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textId="33B2CEBF">
            <w:pPr>
              <w:pStyle w:val="SDSTableTextNormal"/>
              <w:rPr>
                <w:noProof w:val="0"/>
              </w:rPr>
            </w:pPr>
            <w:r w:rsidRPr="0069446B">
              <w:rPr>
                <w:noProof/>
              </w:rPr>
              <w:t>substance possédant une/des valeurs limites d’exposition professionnelle nationales (FR); substance possédant des valeurs limites d’exposition professionnelle communautaires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inhalation), H332 (ATE=1,5 mg/l/4h)</w:t>
              <w:br/>
              <w:t>Eye Irrit. 2, H319</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Bornane-2-one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1, H228</w:t>
              <w:br/>
              <w:t>Acute Tox. 4 (par inhalation), H332 (ATE=1,5 mg/l/4h)</w:t>
              <w:br/>
              <w:t>Skin Irrit. 2, H315</w:t>
              <w:br/>
              <w:t>Eye Dam. 1, H318</w:t>
              <w:br/>
              <w:t>STOT SE 2, H371</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Rincer la peau à l’eau/se doucher. Enlever immédiatement tous les vêtements contaminés.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Liquide et vapeurs inflammables.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Pas de flammes nues, pas d’étincelles et interdiction de fumer.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le liquide répandu dans un matériau absorbant. Avertir les autorités si le produit pénètre dans les égouts ou dans les eaux du domaine public.</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Tenir à l’écart de la chaleur, des surfaces chaudes, des étincelles, des flammes nues et de toute autre source d’inflammation. Ne pas fumer. Mise à la terre/liaison équipotentielle du récipient et du matériel de réception. Ne pas utiliser d’outils produisant des étincelles. Prendre des mesures de précaution contre les décharges électrostatiques. Des vapeurs inflammables peuvent s’accumuler dans le conteneur. Utiliser un appareillage antidéflagrant. Porter un équipement de protection individuel. Eviter le contact avec la peau et les yeux.</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Mise à la terre/liaison équipotentielle du récipient et du matériel de réception.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dans un endroit bien ventilé. Tenir au frais. Maintenir le récipient fermé de manière étanche.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tert-butylique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alcohol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éthylique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9500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Valeur limite indicative d’exposition professionnelle (IOEL)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(2-Méthoxyméthyléthoxy)-propanol (Ether méthylique du dipropylène-glycol)</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réglementaires contraignantes. Risque de pénétration percutanée</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Article R4412-149 du Code du travail (réf.: INRS ED 6443, 2022; Outil65; Décret n° 2019-1487; Décret n° 2020-1546; Décret n° 2021-434; Décret n° 2021-1849; Décret n° 2024-307)</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Bornane-2-one</w:t>
            </w:r>
            <w:r w:rsidRPr="0069446B">
              <w:rPr>
                <w:noProof w:val="0"/>
                <w:color w:val="auto"/>
              </w:rPr>
              <w:t xml:space="preserve"> </w:t>
            </w:r>
            <w:r w:rsidRPr="0069446B" w:rsidR="00FD53E4">
              <w:rPr>
                <w:noProof/>
                <w:color w:val="auto"/>
              </w:rPr>
              <w:t>(76-22-2)</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Camphre</w:t>
            </w:r>
          </w:p>
        </w:tc>
      </w:tr>
      <w:tr w14:paraId="70951C5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12 mg/m³</w:t>
            </w:r>
          </w:p>
        </w:tc>
      </w:tr>
      <w:tr w14:paraId="70951C5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5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Liquide et vapeurs inflammables.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5,9</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Concentration de la solution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sidRPr="0069446B">
        <w:rPr>
          <w:noProof/>
        </w:rPr>
        <w:t>Liquide et vapeurs inflammables.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Eviter le contact avec les surfaces chaudes. Chaleur. Pas de flammes, pas d’étincelles. Supprimer toute source d’ignition.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alcohol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poids corporel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poids corporel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de poids corporel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19020 mg/kg de poids corporel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de poids corporel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Bornane-2-one (76-22-2)</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10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Bornane-2-one (76-22-2)</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Risque présumé d’effets graves pour les organes.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alcohol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poids corporel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poids corporel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poids corporel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poids corporel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Bornane-2-one (76-22-2)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3,2 mg/kg de poids corporel Animal: rat,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alcohol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Pr>
                <w:noProof/>
              </w:rPr>
              <w:t>1930 mg/l Test organisms (species): other aquatic crustacea: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0,5 mg/l Test organisms (species): Daphnia magna Duration: '22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Bornane-2-one (76-22-2)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cèdre et eucalyptus</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alcohol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Bornane-2-one (76-22-2)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Des vapeurs inflammables peuvent s’accumuler dans le conteneur. 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br/>
              <w:t>HP4 - “Irritant – irritation cutanée et lésions oculaires”: déchet pouvant causer une irritation cutanée ou des lésions oculaires en cas d’application.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ethyl alcohol ; pin-2(3)-ene ; cineole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ethyl alcohol ; geranyl acetate ; linalyl acetate ; pin-2(3)-ene ; linalool ; Eugenol ; cineole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Matières solides inflammables,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Matière solide inflammable.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Risque présumé d’effets graves pour les organes.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CITRONELLOL, GERANYL ACETATE, linalyl acetate, linalool, EUGENOL, EUCALYPTOL.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D’après les données d’essais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Recharge pour diffuseur - cèdre et eucalyptus</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0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Recharge pour diffuseur - cèdre et eucalyptus</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FEE15A7-841E-4289-A66D-B3EBBC08BE03}"/>
</file>

<file path=customXml/itemProps3.xml><?xml version="1.0" encoding="utf-8"?>
<ds:datastoreItem xmlns:ds="http://schemas.openxmlformats.org/officeDocument/2006/customXml" ds:itemID="{E90A3B54-1307-4CA5-B522-C8295A6904EB}"/>
</file>

<file path=customXml/itemProps4.xml><?xml version="1.0" encoding="utf-8"?>
<ds:datastoreItem xmlns:ds="http://schemas.openxmlformats.org/officeDocument/2006/customXml" ds:itemID="{2EB8CEAC-AC11-4E54-B10B-150C15F5E0E8}"/>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