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Recharge pour diffuseur - Ambre safran</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VNQ0-60UX-000R-TANM</w:t>
            </w:r>
          </w:p>
        </w:tc>
      </w:tr>
      <w:tr w14:paraId="20BE6DFA"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0174F0" w:rsidRPr="0069446B" w:rsidP="000174F0" w14:paraId="12B46AA9" w14:textId="1C02B377">
            <w:pPr>
              <w:pStyle w:val="SDSTableTextNormal"/>
              <w:rPr>
                <w:noProof w:val="0"/>
              </w:rPr>
            </w:pPr>
            <w:r w:rsidRPr="0069446B" w:rsidR="00FA7F7F">
              <w:rPr>
                <w:noProof/>
              </w:rPr>
              <w:t>Code du produit</w:t>
            </w:r>
          </w:p>
        </w:tc>
        <w:tc>
          <w:tcPr>
            <w:tcW w:w="283" w:type="dxa"/>
            <w:tcBorders>
              <w:top w:val="none" w:sz="0" w:space="0" w:color="000000"/>
              <w:left w:val="none" w:sz="0" w:space="0" w:color="000000"/>
              <w:bottom w:val="none" w:sz="0" w:space="0" w:color="000000"/>
              <w:right w:val="none" w:sz="0" w:space="0" w:color="000000"/>
            </w:tcBorders>
          </w:tcPr>
          <w:p w:rsidR="000174F0" w:rsidRPr="0069446B" w:rsidP="00E10F57" w14:paraId="2E6C7FF5"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174F0" w:rsidRPr="0069446B" w:rsidP="000174F0" w14:paraId="13759414" w14:textId="54F86E0C">
            <w:pPr>
              <w:pStyle w:val="SDSTableTextNormal"/>
              <w:rPr>
                <w:noProof w:val="0"/>
              </w:rPr>
            </w:pPr>
            <w:r w:rsidRPr="0069446B" w:rsidR="00FA7F7F">
              <w:rPr>
                <w:noProof/>
              </w:rPr>
              <w:t>PC-2353961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Recharge pour diffuseur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Liquides inflammables,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H226</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Lésions oculaires graves/irritation oculaire, catégorie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H319</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Liquide et vapeurs inflammables. Peut provoquer une allergie cutanée. Provoque une sévère irritation des yeux.</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GHS02</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citronellol; linalyl acetate; Acétate de 4-tert-butylcyclohexyle; linalool; d-limonene;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H226 - Liquide et vapeurs inflammables.</w:t>
              <w:br/>
              <w:t>H317 - Peut provoquer une allergie cutanée.</w:t>
              <w:br/>
              <w:t>H319 - Provoque une sévère irritation des yeux.</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P210 - Tenir à l’écart de la chaleur, des surfaces chaudes, des étincelles, des flammes nues et de toute autre source d’inflammation. Ne pas fumer.</w:t>
              <w:br/>
              <w:t>P333+P313 - En cas d’irritation ou d’éruption cutanée: consulter un médecin.</w:t>
              <w:br/>
              <w:t>P337+P313 - Si l’irritation oculaire persiste: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alcohol</w:t>
            </w:r>
          </w:p>
          <w:p w:rsidR="00827634" w:rsidRPr="0069446B" w:rsidP="009B0F88" w14:paraId="147D3D58" w14:textId="33B2CEBF">
            <w:pPr>
              <w:pStyle w:val="SDSTableTextNormal"/>
              <w:rPr>
                <w:noProof w:val="0"/>
              </w:rPr>
            </w:pPr>
            <w:r w:rsidRPr="0069446B">
              <w:rPr>
                <w:noProof/>
              </w:rPr>
              <w:t>substance possédant une/des valeurs limites d’exposition professionnelle nationales (FR)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64-17-5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200-578-6</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603-002-00-5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74,984 – 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2, H225</w:t>
              <w:b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(2-methoxymethylethoxy)propanol</w:t>
            </w:r>
          </w:p>
          <w:p w:rsidR="00827634" w:rsidRPr="0069446B" w:rsidP="009B0F88" w14:textId="33B2CEBF">
            <w:pPr>
              <w:pStyle w:val="SDSTableTextNormal"/>
              <w:rPr>
                <w:noProof w:val="0"/>
              </w:rPr>
            </w:pPr>
            <w:r w:rsidRPr="0069446B">
              <w:rPr>
                <w:noProof/>
              </w:rPr>
              <w:t>substance possédant une/des valeurs limites d’exposition professionnelle nationales (FR); substance possédant des valeurs limites d’exposition professionnelle communautaires</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34590-94-8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252-104-2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sidR="00FA7F7F">
              <w:rPr>
                <w:noProof/>
              </w:rPr>
              <w:t>Non classé</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2-methylpropan-2-ol</w:t>
            </w:r>
          </w:p>
          <w:p w:rsidR="00827634" w:rsidRPr="0069446B" w:rsidP="009B0F88" w14:textId="33B2CEBF">
            <w:pPr>
              <w:pStyle w:val="SDSTableTextNormal"/>
              <w:rPr>
                <w:noProof w:val="0"/>
              </w:rPr>
            </w:pPr>
            <w:r w:rsidRPr="0069446B">
              <w:rPr>
                <w:noProof/>
              </w:rPr>
              <w:t>substance possédant une/des valeurs limites d’exposition professionnelle nationales (FR)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75-65-0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200-889-7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603-005-00-1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0,0752 – 0,0896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2, H225</w:t>
              <w:br/>
              <w:t>Acute Tox. 4 (par inhalation), H332 (ATE=1,5 mg/l/4h)</w:t>
              <w:br/>
              <w:t>Eye Irrit. 2, H319</w:t>
              <w:br/>
              <w:t>STOT SE 3, H335</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Rincer la peau à l’eau/se doucher. Enlever immédiatement tous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avec précaution à l’eau pendant plusieurs minutes. Enlever les lentilles de contact si la victime en porte et si elles peuvent être facilement enlevées. Continuer à rincer. Si l’irritation oculaire persiste: consulter un médecin.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Aucun(es) dans des conditions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Eau pulvérisée. Poudre sèche. Mousse. Dioxyde de carbone.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Liquide et vapeurs inflammables.</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Obturer la fuite si cela peut se faire sans danger. 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Pas de flammes nues, pas d’étincelles et interdiction de fumer.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Eloigner le personnel superflu. Obturer la fuite si cela peut se faire sans danger.</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Absorber tout produit répandu avec du sable ou de la terre. Contenir la matière déversée en l’endiguant ou à l’aide de matières absorbantes de façon à empêcher l’écoulement dans les égouts ou les cours d’eau. Stopper la fuite, si possible sans prendre de risque.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Absorber le liquide répandu dans un matériau absorbant. Avertir les autorités si le produit pénètre dans les égouts ou dans les eaux du domaine public.</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Tenir à l’écart de la chaleur, des surfaces chaudes, des étincelles, des flammes nues et de toute autre source d’inflammation. Ne pas fumer. Mise à la terre/liaison équipotentielle du récipient et du matériel de réception. Ne pas utiliser d’outils produisant des étincelles. Prendre des mesures de précaution contre les décharges électrostatiques. Des vapeurs inflammables peuvent s’accumuler dans le conteneur. Utiliser un appareillage antidéflagrant. Porter un équipement de protection individuel. Eviter le contact avec la peau et les yeux. Éviter de respirer les poussières/fumées/gaz/brouillards/vapeurs/aérosols.</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Mise à la terre/liaison équipotentielle du récipient et du matériel de réception.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Stocker dans un endroit bien ventilé. Tenir au frais. Maintenir le récipient fermé de manière étanche.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B077C8" w:rsidRPr="0069446B" w:rsidP="00B077C8" w14:paraId="76C830A6" w14:textId="7C05BC4C">
      <w:pPr>
        <w:pStyle w:val="SDSTextHeading3"/>
        <w:rPr>
          <w:noProof w:val="0"/>
          <w:color w:val="auto"/>
          <w:lang w:val="en-US"/>
        </w:rPr>
      </w:pPr>
      <w:r w:rsidRPr="0069446B">
        <w:rPr>
          <w:noProof/>
          <w:color w:val="auto"/>
          <w:lang w:val="en-US"/>
        </w:rPr>
        <w:t>Valeurs limites nationales d’exposition professionnelle et biologiques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(2-methoxymethylethoxy)propanol</w:t>
            </w:r>
            <w:r w:rsidRPr="0069446B">
              <w:rPr>
                <w:noProof w:val="0"/>
                <w:color w:val="auto"/>
              </w:rPr>
              <w:t xml:space="preserve"> </w:t>
            </w:r>
            <w:r w:rsidRPr="0069446B" w:rsidR="00FD53E4">
              <w:rPr>
                <w:noProof/>
                <w:color w:val="auto"/>
              </w:rPr>
              <w:t>(34590-94-8)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Valeur limite indicative d’exposition professionnelle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(2-Methoxymethylethoxy)-propanol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Remarque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Référence réglementaire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France - Valeurs Limites d’exposition professionnelle</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(2-Méthoxyméthyléthoxy)-propanol (Ether méthylique du dipropylène-glycol)</w:t>
            </w:r>
          </w:p>
        </w:tc>
      </w:tr>
      <w:tr w14:paraId="70951C3F"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40"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41"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Remarque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Valeurs réglementaires contraignantes. Risque de pénétration percutanée</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Référence réglementaire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Article R4412-149 du Code du travail (réf.: INRS ED 6443, 2022; Outil65; Décret n° 2019-1487; Décret n° 2020-1546; Décret n° 2021-434; Décret n° 2021-1849; Décret n° 2024-307)</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2-methylpropan-2-ol</w:t>
            </w:r>
            <w:r w:rsidRPr="0069446B">
              <w:rPr>
                <w:noProof w:val="0"/>
                <w:color w:val="auto"/>
              </w:rPr>
              <w:t xml:space="preserve"> </w:t>
            </w:r>
            <w:r w:rsidRPr="0069446B" w:rsidR="00FD53E4">
              <w:rPr>
                <w:noProof/>
                <w:color w:val="auto"/>
              </w:rPr>
              <w:t>(75-65-0)</w:t>
            </w:r>
          </w:p>
        </w:tc>
      </w:tr>
      <w:tr w14:paraId="09AA005F"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France - Valeurs Limites d’exposition professionnelle</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Alcool tert-butylique</w:t>
            </w:r>
          </w:p>
        </w:tc>
      </w:tr>
      <w:tr w14:paraId="70951C44"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300 mg/m³</w:t>
            </w:r>
          </w:p>
        </w:tc>
      </w:tr>
      <w:tr w14:paraId="70951C45"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100 ppm</w:t>
            </w:r>
          </w:p>
        </w:tc>
      </w:tr>
      <w:tr w14:paraId="70951C46"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Remarque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Valeurs recommandées/admises</w:t>
            </w:r>
          </w:p>
        </w:tc>
      </w:tr>
      <w:tr w14:paraId="70951C47"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Référence réglementaire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Circulaire du Ministère du travail (réf.: INRS ED 6443, 2022; Outil65)</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ethyl alcohol</w:t>
            </w:r>
            <w:r w:rsidRPr="0069446B">
              <w:rPr>
                <w:noProof w:val="0"/>
                <w:color w:val="auto"/>
              </w:rPr>
              <w:t xml:space="preserve"> </w:t>
            </w:r>
            <w:r w:rsidRPr="0069446B" w:rsidR="00FD53E4">
              <w:rPr>
                <w:noProof/>
                <w:color w:val="auto"/>
              </w:rPr>
              <w:t>(64-17-5)</w:t>
            </w:r>
          </w:p>
        </w:tc>
      </w:tr>
      <w:tr w14:paraId="09AA0060"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France - Valeurs Limites d’exposition professionnelle</w:t>
            </w:r>
          </w:p>
        </w:tc>
      </w:tr>
      <w:tr w14:paraId="70951C48"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Alcool éthylique</w:t>
            </w:r>
          </w:p>
        </w:tc>
      </w:tr>
      <w:tr w14:paraId="70951C49"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1900 mg/m³</w:t>
            </w:r>
          </w:p>
        </w:tc>
      </w:tr>
      <w:tr w14:paraId="70951C4A"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1000 ppm</w:t>
            </w:r>
          </w:p>
        </w:tc>
      </w:tr>
      <w:tr w14:paraId="70951C4B"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CT (OEL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9500 mg/m³</w:t>
            </w:r>
          </w:p>
        </w:tc>
      </w:tr>
      <w:tr w14:paraId="70951C4C"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CT (OEL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5000 ppm</w:t>
            </w:r>
          </w:p>
        </w:tc>
      </w:tr>
      <w:tr w14:paraId="70951C4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Remarque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Valeurs recommandées/admises</w:t>
            </w:r>
          </w:p>
        </w:tc>
      </w:tr>
      <w:tr w14:paraId="70951C4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Référence réglementaire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Circulaire du Ministère du travail (réf.: INRS ED 6443, 2022; Outil65)</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Equipement de protection individuelle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Porter l’équipement de protection individuelle recommandé.</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Symbole(s) de l’équipement de protection individuelle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5" name="" descr="Gant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9" name="" descr="Porter un vêtement de protection approp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Protection oculaire</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Lunettes de sécurité</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Protection de la peau</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Protection de la peau et du corps</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Porter un vêtement de protection approprié</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Protection des mains</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Gants de protection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Incolore.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Ambré.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Liquide et vapeurs inflammables.</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Pas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Pas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23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Pas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Pas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0,817</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Pas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Caractéristiques d’une particule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sidRPr="0069446B">
        <w:rPr>
          <w:noProof/>
        </w:rPr>
        <w:t>Liquide et vapeurs inflammables.</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Eviter le contact avec les surfaces chaudes. Chaleur. Pas de flammes, pas d’étincelles. Supprimer toute source d’ignition.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(2-methoxymethylethoxy)propanol (34590-94-8)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19020 mg/kg de poids corporel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9510 mg/kg de poids corporel Animal: rabbit, Animal sex: 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2-methylpropan-2-ol (75-65-0)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EPA OPPTS 870.1200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alcohol (64-17-5)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15010 mg/kg de poids corporel Animal: rat, Animal sex: female, Guideline: OECD Guideline 401 (Acute Oral Toxicity), 95% CL: 14450 - 15560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sidR="00FA7F7F">
              <w:rPr>
                <w:noProof/>
              </w:rPr>
              <w:t>8300 mg/kg de poids corporel Animal: mouse</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sidR="00FA7F7F">
              <w:rPr>
                <w:noProof/>
              </w:rPr>
              <w:t>Provoque une sévère irritation des yeux.</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2-methylpropan-2-ol (75-65-0)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64 mg/kg de poids corporel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2-methylpropan-2-ol (75-65-0)</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(2-methoxymethylethoxy)propanol (34590-94-8)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 alcohol (64-17-5)</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&lt; 9700 mg/kg de poids corporel Animal: mouse, Animal sex: male, Guideline: EPA OPPTS 870.3100 (90-Day Oral Toxicity in Rodents)</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9400 mg/kg de poids corporel Animal: mouse, Animal sex: female, Guideline: EPA OPPTS 870.3100 (90-Day Oral Toxicity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(2-methoxymethylethoxy)propanol (34590-94-8)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1000 mg/l Test organisms (species): Poecilia reticulata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Autres organismes aquatiques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Pr>
                <w:noProof/>
              </w:rPr>
              <w:t>1930 mg/l Test organisms (species): other aquatic crustacea: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969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969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0,5 mg/l Test organisms (species): Daphnia magna Duration: '22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 0,5 mg/l Test organisms (species): Daphnia magna Duration: '22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2-methylpropan-2-ol (75-65-0)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961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933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976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976 mg/l Test organisms (species): Raphidocelis subcapitata (previous names: Pseudokirchneriella subcapitata, Selenastrum capricornutum)</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100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332 mg/l Test organisms (species): other: Duration: '120 h'</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alcohol (64-17-5)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14,2 g/l Test organisms (species): Pimephales promelas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9,6 mg/l Test organisms (species): Daphnia magna Duration: '9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Recharge pour diffuseur - Ambre safran</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(2-methoxymethylethoxy)propanol (34590-94-8)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2-methylpropan-2-ol (75-65-0)</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alcohol (64-17-5)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Pr>
                <w:noProof/>
              </w:rPr>
              <w:t>Des vapeurs inflammables peuvent s’accumuler dans le conteneur. 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 xml:space="preserve">HP3 - “Inflammable”: </w:t>
              <w:br/>
              <w:t xml:space="preserve">– déchet liquide inflammable: déchet liquide ayant un point d’éclair inférieur à 60 °C ou déchet de gazoles, carburants diesel et huiles de chauffage légères dont le point d’éclair est &gt; 55 °C et ≤ 75 °C; </w:t>
              <w:br/>
              <w:t xml:space="preserve">– déchet solide ou liquide pyrophorique inflammable: déchet solide ou liquide qui, même en petites quantités, est susceptible de s’enflammer en moins de cinq minutes lorsqu’il entre en contact avec l’air. </w:t>
              <w:br/>
              <w:t xml:space="preserve">– déchet solide inflammable: déchet solide qui est facilement inflammable, ou qui peut provoquer ou aggraver un incendie en s’enflammant par frottement. </w:t>
              <w:br/>
              <w:t xml:space="preserve">– déchet gazeux inflammable: déchet gazeux inflammable dans l’air à 20 °C et à une pression normale de 101,3 kPa; </w:t>
              <w:br/>
              <w:t xml:space="preserve">– déchet hydroréactif: déchet qui, au contact de l’eau, dégage des gaz inflammables en quantités dangereuses; </w:t>
              <w:br/>
              <w:t>– autres déchets inflammables: aérosols inflammables, déchets auto-échauffants inflammables, peroxydes organiques inflammables et déchets autoréactifs inflammables.</w:t>
              <w:br/>
              <w:t>HP4 - “Irritant – irritation cutanée et lésions oculaires”: déchet pouvant causer une irritation cutanée ou des lésions oculaires en cas d’application.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1170</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1170</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1170</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1170</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1170</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ÉTHANOL EN SOLUTION (ALCOOL ÉTHYLIQUE EN SOLUTION)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sidR="00FA7F7F">
              <w:rPr>
                <w:noProof/>
              </w:rPr>
              <w:t>ÉTHANOL (ALCOOL ÉTHYLIQUE)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sidR="00FA7F7F">
              <w:rPr>
                <w:noProof/>
              </w:rPr>
              <w:t>Ethanol solution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ÉTHANOL EN SOLUTION (ALCOOL ÉTHYLIQUE EN SOLUTION)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ÉTHANOL EN SOLUTION (ALCOOL ÉTHYLIQUE EN SOLUTION)</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1170 ÉTHANOL EN SOLUTION (ALCOOL ÉTHYLIQUE EN SOLUTION), 3, III, (D/E)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1170 ÉTHANOL (ALCOOL ÉTHYLIQUE), 3, III (23°C c.c.)</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sidR="00FA7F7F">
              <w:rPr>
                <w:noProof/>
              </w:rPr>
              <w:t>UN 1170 Ethanol solution, 3,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1170 ÉTHANOL EN SOLUTION (ALCOOL ÉTHYLIQUE EN SOLUTION), 3,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1170 ÉTHANOL EN SOLUTION (ALCOOL ÉTHYLIQUE EN SOLUTION), 3,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3</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3</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3</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3</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3</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11" name=""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3" name=""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5" name=""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9" name=""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Non</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F-E</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S-D</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F1</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144, 601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T2</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LGBF</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FL</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100092E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C381AE4" w14:textId="6A4DCC20">
            <w:pPr>
              <w:pStyle w:val="SDSTableTextNormal"/>
              <w:rPr>
                <w:noProof w:val="0"/>
                <w:lang w:val="nl-BE"/>
              </w:rPr>
            </w:pPr>
            <w:r w:rsidRPr="0069446B">
              <w:rPr>
                <w:noProof/>
                <w:lang w:val="nl-BE"/>
              </w:rPr>
              <w:t>Dispositions spéciales de transport - Exploitation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F6C6DE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C0FEED" w14:textId="22FC5410">
            <w:pPr>
              <w:pStyle w:val="SDSTableTextNormal"/>
              <w:rPr>
                <w:noProof w:val="0"/>
              </w:rPr>
            </w:pPr>
            <w:r w:rsidRPr="0069446B" w:rsidR="00FA7F7F">
              <w:rPr>
                <w:noProof/>
              </w:rPr>
              <w:t>S2</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30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1"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2"/>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D/E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144, 223</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P001, LP01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T2</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7DBF7D2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A2CC5BD" w14:textId="22A6CE1F">
            <w:pPr>
              <w:pStyle w:val="SDSTableTextNormal"/>
              <w:rPr>
                <w:noProof w:val="0"/>
              </w:rPr>
            </w:pPr>
            <w:r w:rsidRPr="0069446B" w:rsidR="00FA7F7F">
              <w:rPr>
                <w:noProof/>
              </w:rPr>
              <w:t>Propriétés et observations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2AAC9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00AB7B" w14:textId="3F049827">
            <w:pPr>
              <w:pStyle w:val="SDSTableTextNormal"/>
              <w:rPr>
                <w:noProof w:val="0"/>
              </w:rPr>
            </w:pPr>
            <w:r w:rsidRPr="0069446B">
              <w:rPr>
                <w:noProof/>
              </w:rPr>
              <w:t>Colourless, volatile liquids. Pure ETHANOL: flashpoint 13°C c.c. Explosive limits: 3.3% to 19%. Miscible with water.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Y344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10L</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355</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60L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366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220L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A3, A58, A180</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3L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F1</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144, 601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EX, A</w:t>
            </w:r>
          </w:p>
        </w:tc>
      </w:tr>
      <w:tr w14:paraId="684412E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8BD6026" w14:textId="73DD1D54">
            <w:pPr>
              <w:pStyle w:val="SDSTableTextNormal"/>
              <w:rPr>
                <w:noProof w:val="0"/>
              </w:rPr>
            </w:pPr>
            <w:r w:rsidRPr="0069446B" w:rsidR="00FA7F7F">
              <w:rPr>
                <w:noProof/>
              </w:rPr>
              <w:t>Ventilation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1E90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8C4BC7" w14:textId="7C4C1B85">
            <w:pPr>
              <w:pStyle w:val="SDSTableTextNormal"/>
              <w:rPr>
                <w:noProof w:val="0"/>
              </w:rPr>
            </w:pPr>
            <w:r w:rsidRPr="0069446B" w:rsidR="00FA7F7F">
              <w:rPr>
                <w:noProof/>
              </w:rPr>
              <w:t>VE01</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F1</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144, 601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T2</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LGBF</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CE4</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30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Directives nationales</w:t>
      </w:r>
    </w:p>
    <w:tbl>
      <w:tblPr>
        <w:tblStyle w:val="SDSTableWithoutBorders"/>
        <w:tblW w:w="10491" w:type="dxa"/>
        <w:tblLayout w:type="fixed"/>
        <w:tblLook w:val="04A0"/>
      </w:tblPr>
      <w:tblGrid>
        <w:gridCol w:w="10491"/>
      </w:tblGrid>
      <w:tr w14:paraId="5124EAC9"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5F4E1267" w14:textId="396498DA">
            <w:pPr>
              <w:pStyle w:val="SDSTextHeading4"/>
              <w:rPr>
                <w:color w:val="auto"/>
              </w:rPr>
            </w:pPr>
            <w:r w:rsidRPr="0069446B">
              <w:rPr>
                <w:color w:val="auto"/>
              </w:rPr>
              <w:t>Finlande</w:t>
            </w:r>
          </w:p>
        </w:tc>
      </w:tr>
      <w:tr w14:paraId="4EB0E7BB"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1DA7F00D" w14:textId="0E094761">
            <w:pPr>
              <w:pStyle w:val="SDSTextHeading4"/>
              <w:rPr>
                <w:color w:val="auto"/>
              </w:rPr>
            </w:pPr>
            <w:r w:rsidRPr="0069446B" w:rsidR="00FA7F7F">
              <w:rPr>
                <w:noProof/>
                <w:color w:val="auto"/>
              </w:rPr>
              <w:t>France</w:t>
            </w:r>
          </w:p>
        </w:tc>
      </w:tr>
      <w:tr w14:paraId="584C76DD" w14:textId="77777777" w:rsidTr="00CE2D83">
        <w:tblPrEx>
          <w:tblW w:w="10491" w:type="dxa"/>
          <w:tblLayout w:type="fixed"/>
          <w:tblLook w:val="04A0"/>
        </w:tblPrEx>
        <w:trPr>
          <w:cantSplit w:val="0"/>
          <w:trHeight w:val="20"/>
        </w:trPr>
        <w:tc>
          <w:tcPr>
            <w:tcW w:w="10491" w:type="dxa"/>
            <w:tcBorders>
              <w:top w:val="none" w:sz="0" w:space="0" w:color="000000"/>
              <w:left w:val="none" w:sz="0" w:space="0" w:color="000000"/>
              <w:bottom w:val="none" w:sz="0" w:space="0" w:color="000000"/>
              <w:right w:val="none" w:sz="0" w:space="0" w:color="000000"/>
            </w:tcBorders>
          </w:tcPr>
          <w:tbl>
            <w:tblPr>
              <w:tblStyle w:val="SDSTableWithBordersWithHeaderRow"/>
              <w:tblW w:w="10477" w:type="dxa"/>
              <w:tblLayout w:type="fixed"/>
              <w:tblLook w:val="04A0"/>
            </w:tblPr>
            <w:tblGrid>
              <w:gridCol w:w="1981"/>
              <w:gridCol w:w="8496"/>
            </w:tblGrid>
            <w:tr w14:paraId="1ECC5E7E" w14:textId="77777777" w:rsidTr="00CE2D83">
              <w:tblPrEx>
                <w:tblW w:w="10477" w:type="dxa"/>
                <w:tblLayout w:type="fixed"/>
                <w:tblLook w:val="04A0"/>
              </w:tblPrEx>
              <w:trPr>
                <w:trHeight w:val="20"/>
                <w:tblHeader/>
              </w:trPr>
              <w:tc>
                <w:tcPr>
                  <w:tcW w:w="10477"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15A19" w14:paraId="3893F28A" w14:textId="29FBBBED">
                  <w:pPr>
                    <w:pStyle w:val="SDSTableTextBold"/>
                    <w:keepNext w:val="0"/>
                  </w:pPr>
                  <w:r w:rsidRPr="0069446B" w:rsidR="00290951">
                    <w:t>Maladies professionnelles</w:t>
                  </w:r>
                </w:p>
              </w:tc>
            </w:tr>
            <w:tr w14:paraId="6BEF88BE" w14:textId="77777777" w:rsidTr="00CE2D83">
              <w:tblPrEx>
                <w:tblW w:w="10477" w:type="dxa"/>
                <w:tblLayout w:type="fixed"/>
                <w:tblLook w:val="04A0"/>
              </w:tblPrEx>
              <w:trPr>
                <w:trHeight w:val="20"/>
                <w:tblHeader/>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151D0C1" w14:textId="13782F1F">
                  <w:pPr>
                    <w:pStyle w:val="SDSTableTextNormal"/>
                  </w:pPr>
                  <w:r w:rsidRPr="0069446B" w:rsidR="00290951">
                    <w:t>Code</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AC252CE" w14:textId="5E703CA3">
                  <w:pPr>
                    <w:pStyle w:val="SDSTableTextNormal"/>
                  </w:pPr>
                  <w:r w:rsidRPr="0069446B">
                    <w:rPr>
                      <w:noProof/>
                    </w:rPr>
                    <w:t>Description</w:t>
                  </w:r>
                </w:p>
              </w:tc>
            </w:tr>
            <w:tr w14:paraId="6BB13145" w14:textId="77777777" w:rsidTr="00CE2D83">
              <w:tblPrEx>
                <w:tblW w:w="10477" w:type="dxa"/>
                <w:tblLayout w:type="fixed"/>
                <w:tblLook w:val="04A0"/>
              </w:tblPrEx>
              <w:trPr>
                <w:trHeight w:val="676"/>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F5DCE0B" w14:textId="534EAEAF">
                  <w:pPr>
                    <w:pStyle w:val="SDSTableTextNormal"/>
                    <w:rPr>
                      <w:noProof w:val="0"/>
                    </w:rPr>
                  </w:pPr>
                  <w:r w:rsidRPr="0069446B" w:rsidR="00FA7F7F">
                    <w:rPr>
                      <w:noProof/>
                    </w:rPr>
                    <w:t>RG 84</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CB660ED" w14:textId="088BFBA8">
                  <w:pPr>
                    <w:pStyle w:val="SDSTableTextNormal"/>
                    <w:rPr>
                      <w:noProof w:val="0"/>
                    </w:rPr>
                  </w:pPr>
                  <w:r w:rsidRPr="0069446B">
                    <w:rPr>
                      <w:noProof/>
                    </w:rPr>
                    <w:t>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tétrahydrofurane ; esters ; diméthylformamide et dimétylacétamine ; acétonitrile et propionitrile ; pyridine ; diméthylsulfone et diméthylsulfoxyde</w:t>
                  </w:r>
                </w:p>
              </w:tc>
            </w:tr>
          </w:tbl>
          <w:p w:rsidR="00F430DC" w:rsidRPr="0069446B" w:rsidP="005C557D" w14:paraId="07BC27B8" w14:textId="77777777">
            <w:pPr>
              <w:pStyle w:val="SDSTableTextNormal"/>
            </w:pP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très inflammables.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Flam. Liq.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H226</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Pr>
                <w:noProof/>
              </w:rPr>
              <w:t>D’après les données d’essais</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Eye Irrit.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H319</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Recharge pour diffuseur - Ambre safran</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2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Recharge pour diffuseur - Ambre safran</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conformément au règlement (CE) n° 1907/2006 (REACH) modifié par le règlement (UE) 2020/878</w:t>
          </w:r>
        </w:p>
        <w:p w:rsidR="009C6C12" w:rsidRPr="008F5B08" w:rsidP="008F5B08" w14:paraId="31267F45" w14:textId="67A5CBF0">
          <w:pPr>
            <w:pStyle w:val="SDSTableTextHeader"/>
          </w:pPr>
          <w:r>
            <w:rPr>
              <w:noProof/>
            </w:rPr>
            <w:t>Date d’émission: 19/06/2026   Version: 2.0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2.xml"/><Relationship Id="rId12" Type="http://schemas.openxmlformats.org/officeDocument/2006/relationships/image" Target="media/image7.png"/><Relationship Id="rId17" Type="http://schemas.openxmlformats.org/officeDocument/2006/relationships/header" Target="header3.xml"/><Relationship Id="rId7" Type="http://schemas.openxmlformats.org/officeDocument/2006/relationships/image" Target="media/image2.png"/><Relationship Id="rId16" Type="http://schemas.openxmlformats.org/officeDocument/2006/relationships/footer" Target="footer2.xml"/><Relationship Id="rId2" Type="http://schemas.openxmlformats.org/officeDocument/2006/relationships/webSettings" Target="webSettings.xml"/><Relationship Id="rId20" Type="http://schemas.openxmlformats.org/officeDocument/2006/relationships/styles" Target="styles.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15" Type="http://schemas.openxmlformats.org/officeDocument/2006/relationships/footer" Target="footer1.xml"/><Relationship Id="rId5" Type="http://schemas.openxmlformats.org/officeDocument/2006/relationships/hyperlink" Target="mailto:office@labsys.fr" TargetMode="External"/><Relationship Id="rId23" Type="http://schemas.openxmlformats.org/officeDocument/2006/relationships/customXml" Target="../customXml/item4.xml"/><Relationship Id="rId10" Type="http://schemas.openxmlformats.org/officeDocument/2006/relationships/image" Target="media/image5.png"/><Relationship Id="rId19" Type="http://schemas.openxmlformats.org/officeDocument/2006/relationships/theme" Target="theme/theme1.xml"/><Relationship Id="rId14"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3.xml"/></Relationships>
</file>

<file path=word/_rels/header3.xml.rels><?xml version="1.0" encoding="utf-8" standalone="yes"?><Relationships xmlns="http://schemas.openxmlformats.org/package/2006/relationships"><Relationship Id="rId1" Type="http://schemas.openxmlformats.org/officeDocument/2006/relationships/image" Target="media/image8.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1F3B0DE-7A7C-4D94-A46C-18CC0AC27AAB}"/>
</file>

<file path=customXml/itemProps3.xml><?xml version="1.0" encoding="utf-8"?>
<ds:datastoreItem xmlns:ds="http://schemas.openxmlformats.org/officeDocument/2006/customXml" ds:itemID="{1BA8B70D-44C9-48FA-812A-0D3C5B82D767}"/>
</file>

<file path=customXml/itemProps4.xml><?xml version="1.0" encoding="utf-8"?>
<ds:datastoreItem xmlns:ds="http://schemas.openxmlformats.org/officeDocument/2006/customXml" ds:itemID="{AB18651F-33D5-42D2-AE83-E37A0A2FC3DA}"/>
</file>

<file path=docProps/app.xml><?xml version="1.0" encoding="utf-8"?>
<Properties xmlns="http://schemas.openxmlformats.org/officeDocument/2006/extended-properties" xmlns:vt="http://schemas.openxmlformats.org/officeDocument/2006/docPropsVTypes">
  <Template>Normal</Template>
  <TotalTime>219</TotalTime>
  <Pages>17</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