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Parfum voiture - Platinium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7XW0-507W-C00V-386A</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Code du produit</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1874716</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Parfum pour voiture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Toxicité aiguë (Inhalation:poussières,brouillard) Non classé</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r w:rsidRPr="0069446B">
              <w:rPr>
                <w:noProof/>
              </w:rPr>
              <w:t>Compte tenu des données disponibles, les critères de classification ne sont pas remplis</w:t>
            </w: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Lésions oculaires graves/irritation oculaire,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9"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Provoque une sévère irritation des yeux. Toxique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citronellol; geraniol; allyl 3-cyclohexylpropionate; methyl atrarate; methyl cedryl ether; tridec-2-enenitrile; 1-(2,6,6-trimethyl-1,3-cyclohexadien-1-yl)-2-buten-1-one; (ethoxymethoxy)cyclododecane; 3-(p-ethylphenyl)-2,2-dimethylpropionaldehyde; 4,7-Methano-1H-indene-2-carboxaldehyde, octahydro-5-methoxy-; coumarin; 2,2,6-trimethyl-α-propylcyclohexanepropanol; acétate de 2-méthoxy-4-(prop-1-ényl)phényle; allyl 3-cyclohexylpropionate; linalyl acetate; isoeugenol; 2,6-dimethylhept-5-enal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H319 - Provoque une sévère irritation des yeux.</w:t>
              <w:br/>
              <w:t>H411 - Toxique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P305+P351+P338 - EN CAS DE CONTACT AVEC LES YEUX: Rincer avec précaution à l’eau pendant plusieurs minutes. Enlever les lentilles de contact si la victime en porte et si elles peuvent être facilement enlevées. Continuer à rincer.</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Composant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ne répondant pas aux critères PBT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(ethoxymethoxy)cyclododecane (58567-11-6)</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ne répondant pas aux critères vPvB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(ethoxymethoxy)cyclododecane (58567-11-6)</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2"/>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Composant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non incluse(s) dans la liste établie conformément à l’article 59, al. 1, du règlement REACH pour avoir des propriétés perturbant le système endocrinien, ou non identifiée(s) comme ayant des propriétés perturbant le système endocrinien conformément aux critères énoncés dans le règlement délégué (UE) 2017/2100 de la Commission ou le règlement (UE) 2018/605 de la Commission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substance possédant une/des valeurs limites d’exposition professionnelle nationales (FR); substance possédant des valeurs limites d’exposition professionnelle communautaires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76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Non classé</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cis-2-tert-butylcyclohexyl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20298-69-5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243-718-1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(2E)-2-ethyl-4-(2,2,3-trimethylcyclopent-3-en-1-yl)but-2-en-1-ol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106185-75-5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701-122-3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(ethoxymethoxy)cyclododecane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58567-11-6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261-332-1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(3-methylbutoxy)acetate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67634-00-8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266-803-5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Acute Tox. 2 (par inhalation), H330 (ATE=0,05 mg/l/4h)</w:t>
              <w:br/>
              <w:t>Skin Irrit. 2, H315</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Aquatic Acute 1, H400</w:t>
              <w:br/>
              <w:t>Aquatic Chronic 1, H410</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2,2,6-trimethyl-α-propylcyclohexanepropanol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70788-30-6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274-892-7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2050-08-0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218-080-2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Aquatic Acute 1, H400</w:t>
              <w:br/>
              <w:t>Aquatic Chronic 1, H410</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atrarate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4707-47-5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225-193-0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4,7-Methano-1H-indene-2-carboxaldehyde, octahydro-5-methoxy-</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86803-90-9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(2-methylbutoxy)acetate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67634-01-9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266-804-0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Acute Tox. 1 (par inhalation), H330</w:t>
              <w:br/>
              <w:t>Skin Irrit. 2, H315</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acétate de 2-méthoxy-4-(prop-1-ényl)phényle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93-29-8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202-236-1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3-cyclohexylpropionate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2705-87-5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204-712-4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Acute Tox. 4 (par voie cutanée), H312 (ATE=1100 mg/kg de poids corporel)</w:t>
              <w:br/>
              <w:t>Acute Tox. 4 (par inhalation), H332 (ATE=1,5 mg/l/4h)</w:t>
              <w:br/>
              <w:t>Skin Sens. 1, H317</w:t>
              <w:br/>
              <w:t>Aquatic Acute 1, H400</w:t>
              <w:br/>
              <w:t>Aquatic Chronic 1, H410</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tridec-2-enenitrile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22629-49-8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245-142-6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(cyclohexyloxy)acetate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68901-15-5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272-657-3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Aquatic Acute 1, H400</w:t>
              <w:br/>
              <w:t>Aquatic Chronic 1, H410</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3-cyclohexylpropionate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2705-87-5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220-292-5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(ATE=380 mg/kg de poids corporel)</w:t>
              <w:br/>
              <w:t>Acute Tox. 4 (par voie cutanée), H312 (ATE=1600 mg/kg de poids corporel)</w:t>
              <w:br/>
              <w:t>Skin Sens. 1, H317</w:t>
              <w:br/>
              <w:t>Aquatic Acute 1, H400</w:t>
              <w:br/>
              <w:t>Aquatic Chronic 2, H411</w:t>
            </w:r>
          </w:p>
        </w:tc>
      </w:tr>
      <w:tr w14:paraId="73AD150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2,6-dimethylhept-5-enal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106-72-9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203-427-2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50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3-(p-ethylphenyl)-2,2-dimethylpropionaldehyde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67634-15-5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266-819-2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Acute 1, H400</w:t>
              <w:br/>
              <w:t>Aquatic Chronic 2, H411</w:t>
            </w:r>
          </w:p>
        </w:tc>
      </w:tr>
      <w:tr w14:paraId="73AD150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50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23696-85-7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245-833-2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inhalation), H332</w:t>
              <w:br/>
              <w:t>Skin Irrit. 2, H315</w:t>
              <w:br/>
              <w:t>Skin Sens. 1A, H317</w:t>
              <w:br/>
              <w:t>Aquatic Chronic 2, H411</w:t>
            </w:r>
          </w:p>
        </w:tc>
      </w:tr>
      <w:tr w14:paraId="73AD150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Acute Tox. 4 (par voie cutanée), H312 (ATE=1100 mg/kg de poids corporel)</w:t>
              <w:br/>
              <w:t>Acute Tox. 4 (par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avec précaution à l’eau pendant plusieurs minutes. Enlever les lentilles de contact si la victime en porte et si elles peuvent être facilement enlevées. Continuer à rincer. Si l’irritation oculaire persiste: consulter un médecin.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Aucun(es) dans des conditions normales.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Eau pulvérisée. Poudre sèche. Mousse. Dioxyde de carbone.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Obturer la fuite si cela peut se faire sans danger. 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Eloigner le personnel superflu. Obturer la fuite si cela peut se faire sans danger.</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Recueillir le produit répandu. Contenir la matière déversée en l’endiguant ou à l’aide de matières absorbantes de façon à empêcher l’écoulement dans les égouts ou les cours d’eau. Stopper la fuite, si possible sans prendre de risque.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Absorber le liquide répandu dans un matériau absorbant.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B077C8" w:rsidRPr="0069446B" w:rsidP="00B077C8" w14:paraId="76C830A6" w14:textId="7C05BC4C">
      <w:pPr>
        <w:pStyle w:val="SDSTextHeading3"/>
        <w:rPr>
          <w:noProof w:val="0"/>
          <w:color w:val="auto"/>
          <w:lang w:val="en-US"/>
        </w:rPr>
      </w:pPr>
      <w:r w:rsidRPr="0069446B">
        <w:rPr>
          <w:noProof/>
          <w:color w:val="auto"/>
          <w:lang w:val="en-US"/>
        </w:rPr>
        <w:t>Valeurs limites nationales d’exposition professionnelle et biologiques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Valeur limite indicative d’exposition professionnelle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France - Valeurs Limites d’exposition professionnelle</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(2-Méthoxyméthyléthoxy)-propanol (Ether méthylique du dipropylène-glycol)</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Valeurs réglementaires contraignantes. Risque de pénétration percutanée</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Article R4412-149 du Code du travail (réf.: INRS ED 6443, 2022; Outil65; Décret n° 2019-1487; Décret n° 2020-1546; Décret n° 2021-434; Décret n° 2021-1849; Décret n° 2024-307)</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Équipements de protection individuelle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Equipement de protection individuelle</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Porter l’équipement de protection individuelle recommandé.</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Symbole(s) de l’équipement de protection individuelle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5" name="" descr="Gants de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Lunettes de sécur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Porter un vêtement de protection appropr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Protection des yeux et du visage</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Protection oculaire</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Lunettes de sécurité</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Protection de la peau</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Protection de la peau et du corps</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Porter un vêtement de protection approprié</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Protection des mains</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Gants de protection</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Protection respiratoire</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Protection respiratoire</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En cas de ventilation insuffisante, porter un appareil respiratoire approprié</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Incolore. Jaune.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Boisé. Marine.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Pas disponible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Pas disponible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Pas disponible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86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Pas disponible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Pas disponible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0,933</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Pas disponible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Caractéristiques d’une particule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Inhalation:poussières,brouillard: 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de poids corporel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3-cyclohexylpropionate (2705-87-5)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585 mg/kg de poids corporel Animal: rat, Guideline: OECD Guideline 401 (Acute Oral Toxicity), 95% CL: 480 - 714</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380 mg/kg de poids corporel Animal: guinea pig, Guideline: OECD Guideline 401 (Acute Oral Toxicity), 95% CL: 172 - 834</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1600 mg/kg de poids corporel Animal: rabbit, Guideline: OECD Guideline 402 (Acute Dermal Toxicity), 95% CL: 430 - 2770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methyl atrarate (4707-47-5)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poids corporel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de poids corporel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cis-2-tert-butylcyclohexyl acetate (20298-69-5)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4600 mg/kg de poids corporel Animal: rat, Guideline: OECD Guideline 401 (Acute Oral Toxicity), 95% CL: 2700 - 7800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poids corporel Animal: rat, Guideline: OECD Guideline 401 (Acute Oral Toxicity)</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de poids corporel Animal: rat, Guideline: OECD Guideline 402 (Acute Dermal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de poids corporel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(ethoxymethoxy)cyclododecane (58567-11-6)</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poids corporel Animal: rat, Animal sex: male, Guideline: OECD Guideline 401 (Acute Oral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(2E)-2-ethyl-4-(2,2,3-trimethylcyclopent-3-en-1-yl)but-2-en-1-ol (106185-75-5)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(3-methylbutoxy)acetate (67634-00-8)</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Animal sex: female,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pentyl salicylate (2050-08-0)</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2000 mg/kg de poids corporel Animal: rat, Animal sex: male, Guideline: OECD Guideline 401 (Acute Oral Toxicity)</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3-cyclohexylpropionate (2705-87-5)</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585 mg/kg de poids corporel Animal: rat, Guideline: OECD Guideline 401 (Acute Oral Toxicity), 95% CL: 480 - 714</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380 mg/kg de poids corporel Animal: guinea pig, Guideline: OECD Guideline 401 (Acute Oral Toxicity), 95% CL: 172 - 834</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1600 mg/kg de poids corporel Animal: rabbit, Guideline: OECD Guideline 402 (Acute Dermal Toxicity), 95% CL: 430 - 2770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2,6-dimethylhept-5-enal (106-72-9)</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&gt; 3000 mg/kg de poids corporel Animal: , Guideline: OECD Guideline 401 (Acute Oral Toxicity)</w:t>
            </w:r>
          </w:p>
        </w:tc>
      </w:tr>
      <w:tr w14:paraId="6700D31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 3000 mg/kg de poids corporel Animal: rabbit,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Provoque une sévère irritation des yeux.</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methyl atrarate (4707-47-5)</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 717 mg/kg de poids corporel Animal: rat, Animal sex: male, Guideline: OECD Guideline 422 (Combined Repeated Dose Toxicity Study with the Reproduction / Developmental Toxicity Screening Test), Guideline: other:, Guideline: OECD Guideline 421 (Reproduction / Developmental Toxicity Screening Test), Guideline: other:, Guideline: other:, Guideline: other:,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 1175 mg/kg de poids corporel Animal: rat, Animal sex: female, Guideline: OECD Guideline 422 (Combined Repeated Dose Toxicity Study with the Reproduction / Developmental Toxicity Screening Test), Guideline: other:, Guideline: OECD Guideline 421 (Reproduction / Developmental Toxicity Screening Test), Guideline: other:, Guideline: other:, Guideline: other:,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(ethoxymethoxy)cyclododecane (58567-11-6)</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50 mg/kg de poids corporel Animal: rat, Animal sex: male, Guideline: OECD Guideline 422 (Combined Repeated Dose Toxicity Study with the Reproduction / Developmental Toxicity Screening Test), Guideline: other:</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1000 mg/kg de poids corporel Animal: rat, Animal sex: female, Guideline: OECD Guideline 422 (Combined Repeated Dose Toxicity Study with the Reproduction / Developmental Toxicity Screening Test),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(2E)-2-ethyl-4-(2,2,3-trimethylcyclopent-3-en-1-yl)but-2-en-1-ol (106185-75-5)</w:t>
            </w:r>
          </w:p>
        </w:tc>
      </w:tr>
      <w:tr w14:paraId="08D78BF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300 mg/kg de poids corporel Animal: rat, Animal sex: 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de poids corporel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8"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pentyl salicylate (2050-08-0)</w:t>
            </w:r>
          </w:p>
        </w:tc>
      </w:tr>
      <w:tr w14:paraId="08D78BF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540 mg/kg de poids corporel Animal: rat, Animal sex: male, Guideline: OECD Guideline 415 [One-Generation Reproduction Toxicity Study (before 9 October 2017)]</w:t>
            </w:r>
          </w:p>
        </w:tc>
      </w:tr>
      <w:tr w14:paraId="7F5CEB61"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180 mg/kg de poids corporel Animal: rat, Animal sex: female, Guideline: OECD Guideline 415 [One-Generation Reproduction Toxicity Study (before 9 October 2017)]</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9"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2,6-dimethylhept-5-enal (106-72-9)</w:t>
            </w:r>
          </w:p>
        </w:tc>
      </w:tr>
      <w:tr w14:paraId="7F5CEB6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300 mg/kg de poids corporel Animal: rat, Animal sex: female, Guideline: other:</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(animal/femelle,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300 – 1500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2,6-dimethyloct-7-en-2-ol (18479-58-8)</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Peut provoquer somnolence ou vertiges.</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C"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isoeugenol (97-54-1)</w:t>
            </w:r>
          </w:p>
        </w:tc>
      </w:tr>
      <w:tr w14:paraId="19C91D8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Peut irriter les voies respiratoires.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de poids corporel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(inhalation, rat, poussière/brouillard/fumée,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de poids corporel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cis-2-tert-butylcyclohexyl acetate (20298-69-5)</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37 mg/kg de poids corporel Animal: rat, Animal sex: male,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Informations sur les autres dangers</w:t>
      </w:r>
      <w:bookmarkEnd w:id="4"/>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Toxique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Toxique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3-cyclohexylpropionate (2705-87-5)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0,13 mg/l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methyl atrarate (4707-47-5)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5,2 mg/l Test organisms (species): not specified</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9,3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3,3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cis-2-tert-butylcyclohexyl acetate (20298-69-5)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5,6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4,2 mg/l Test organisms (species): Desmodesmus subspicatus (previous name: Scenedesmus subspicatus)</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0,8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CE50 - Autres organismes aquatiques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0,5 mg/l Test organisms (species): Daphnia magna Duration: '22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(ethoxymethoxy)cyclododecane (58567-11-6)</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1,9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1,6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(2E)-2-ethyl-4-(2,2,3-trimethylcyclopent-3-en-1-yl)but-2-en-1-ol (106185-75-5)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Lepomis macrochirus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1,34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2,5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0,84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0,48 mg/l Test organisms (species): Daphnia magna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 0,23 mg/l Test organisms (species): Danio rerio (previous name: Brachydanio rerio)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65 mg/l Test organisms (species): Desmodesmus subspicatus (previous name: Scenedesmus subspicatus)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(3-methylbutoxy)acetate (67634-00-8)</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 0,768 mg/l Test organisms (species):</w:t>
            </w:r>
          </w:p>
        </w:tc>
      </w:tr>
      <w:tr w14:paraId="3112BB7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 2,06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pentyl salicylate (2050-08-0)</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1,34 mg/l Test organisms (species): Danio rerio (previous name: Brachydanio rerio)</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0,88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3-cyclohexylpropionate (2705-87-5)</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0,13 mg/l Test organisms (species): Pimephales promelas</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2,6-dimethylhept-5-enal (106-72-9)</w:t>
            </w:r>
          </w:p>
        </w:tc>
      </w:tr>
      <w:tr w14:paraId="562CC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2,288 mg/l Test organisms (species):</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2,4 mg/l Test organisms (species): Daphnia magna</w:t>
            </w:r>
          </w:p>
        </w:tc>
      </w:tr>
      <w:tr w14:paraId="3112BB7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4,3 mg/l Test organisms (species):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sidR="00FA7F7F">
              <w:rPr>
                <w:noProof/>
              </w:rPr>
              <w:t>9,3 mg/l Test organisms (species):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Parfum voiture - Platinium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3-cyclohexylpropionate (2705-87-5)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atrarate (4707-47-5)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cis-2-tert-butylcyclohexyl acetate (20298-69-5)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tridec-2-enenitrile (22629-49-8)</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1-(2,6,6-trimethyl-1,3-cyclohexadien-1-yl)-2-buten-1-one (23696-85-7)</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(ethoxymethoxy)cyclododecane (58567-11-6)</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3-(p-ethylphenyl)-2,2-dimethylpropionaldehyde (67634-15-5)</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(cyclohexyloxy)acetate (68901-15-5)</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4,7-Methano-1H-indene-2-carboxaldehyde, octahydro-5-methoxy- (86803-90-9)</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(2E)-2-ethyl-4-(2,2,3-trimethylcyclopent-3-en-1-yl)but-2-en-1-ol (106185-75-5)</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(3-methylbutoxy)acetate (67634-00-8)</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2,2,6-trimethyl-α-propylcyclohexanepropanol (70788-30-6)</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pentyl salicylate (2050-08-0)</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(2-methylbutoxy)acetate (67634-01-9)</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acétate de 2-méthoxy-4-(prop-1-ényl)phényle (93-29-8)</w:t>
            </w:r>
          </w:p>
        </w:tc>
      </w:tr>
      <w:tr w14:paraId="2D6A99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3-cyclohexylpropionate (2705-87-5)</w:t>
            </w:r>
          </w:p>
        </w:tc>
      </w:tr>
      <w:tr w14:paraId="2D6A99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2,6-dimethylhept-5-enal (106-72-9)</w:t>
            </w:r>
          </w:p>
        </w:tc>
      </w:tr>
      <w:tr w14:paraId="2D6A99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Composant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ne répondant pas aux critères PBT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(ethoxymethoxy)cyclododecane (58567-11-6)</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ne répondant pas aux critères vPvB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(ethoxymethoxy)cyclododecane (58567-11-6)</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5"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HP6 - “Toxicité aiguë”: déchet qui peut entraîner des effets toxiques aigus après administration par voie orale ou cutanée, ou suite à une exposition par inhalation.</w:t>
              <w:b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MATIÈRE DANGEREUSE DU POINT DE VUE DE L'ENVIRONNEMENT, LIQUIDE, N.S.A. (PRODUITS POUR PARFUMERIE)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MATIÈRE DANGEREUSE DU POINT DE VUE DE L'ENVIRONNEMENT, LIQUIDE, N.S.A. (PRODUITS POUR PARFUMERIE)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MATIÈRE DANGEREUSE DU POINT DE VUE DE L'ENVIRONNEMENT, LIQUIDE, N.S.A. (PRODUITS POUR PARFUMERIE)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MATIÈRE DANGEREUSE DU POINT DE VUE DE L'ENVIRONNEMENT, LIQUIDE, N.S.A. (PRODUITS POUR PARFUMERIE)</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Description document de transport</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MATIÈRE DANGEREUSE DU POINT DE VUE DE L'ENVIRONNEMENT, LIQUIDE, N.S.A. (PRODUITS POUR PARFUMERIE),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MATIÈRE DANGEREUSE DU POINT DE VUE DE L'ENVIRONNEMENT, LIQUIDE, N.S.A. (PRODUITS POUR PARFUMERIE), 9, III, POLLUANT MARIN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MATIÈRE DANGEREUSE DU POINT DE VUE DE L'ENVIRONNEMENT, LIQUIDE, N.S.A. (PRODUITS POUR PARFUMERIE),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MATIÈRE DANGEREUSE DU POINT DE VUE DE L'ENVIRONNEMENT, LIQUIDE, N.S.A. (PRODUITS POUR PARFUMERIE),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Marque de substance dangereuse pour l’environnement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Marque de substance dangereuse pour l’environnement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Marque de substance dangereuse pour l’environnement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2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5" name="" descr="Marque de substance dangereuse pour l’environnement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9" name="" descr="Marque de substance dangereuse pour l’environnement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p w:rsidR="00E5555B" w:rsidRPr="0069446B" w:rsidP="00CB352E" w14:paraId="59B4C75B" w14:textId="3A38D38E">
            <w:pPr>
              <w:pStyle w:val="SDSTableTextCentered"/>
              <w:rPr>
                <w:noProof w:val="0"/>
              </w:rPr>
            </w:pPr>
            <w:r w:rsidRPr="0069446B" w:rsidR="00FA7F7F">
              <w:rPr>
                <w:noProof/>
              </w:rPr>
              <w:t>Polluant marin</w:t>
            </w:r>
            <w:r w:rsidRPr="0069446B">
              <w:rPr>
                <w:noProof w:val="0"/>
              </w:rPr>
              <w:t xml:space="preserve">: </w:t>
            </w:r>
            <w:r w:rsidRPr="0069446B" w:rsidR="00FA7F7F">
              <w:rPr>
                <w:noProof/>
              </w:rPr>
              <w:t>Oui</w:t>
            </w:r>
          </w:p>
          <w:p w:rsidR="00C93EB0" w:rsidRPr="0069446B" w:rsidP="00C93EB0" w14:paraId="3E1963A9" w14:textId="2D18F11C">
            <w:pPr>
              <w:pStyle w:val="SDSTableTextCentered"/>
              <w:rPr>
                <w:noProof w:val="0"/>
              </w:rPr>
            </w:pPr>
            <w:r w:rsidRPr="0069446B" w:rsidR="00FA7F7F">
              <w:rPr>
                <w:noProof/>
              </w:rPr>
              <w:t>N° FS (Feu)</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FS (Déversement)</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Oui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Code de classification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Dispositions spéciales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Quantités limitées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Quantités exceptées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Instructions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Dispositions spéciales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Dispositions relatives à l‘emballage en commun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Instructions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Dispositions spéciales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Code-citerne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Véhicule pour le transport en citerne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Catégorie de transport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Dispositions spéciales de transport - Colis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Dispositions spéciales de transport - Chargement, déchargement et manutention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Numéro d’identification du danger (code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Panneaux oranges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31" name="" descr="Panneaux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Code de restriction en tunnels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Dispositions spéciales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Quantités limitées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Quantités exceptées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Instructions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Dispositions spéciales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Instructions d’emballages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Instructions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Dispositions spéciales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Catégorie de chargement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Quantités exceptées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Quantités limitées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Quantité nette max. pour quantité limitée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Instructions d’emballage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Quantité nette max. pour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Instructions d’emballage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Quantité max. nette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Dispositions spéciales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Code de classification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Dispositions spéciales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Quantités limitées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Quantités exceptées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Transport admis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Equipement exigé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Nombre de cônes/feux bleus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Code de classification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Dispositions spéciales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Quantités limitées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Quantités exceptées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Instructions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Dispositions spéciales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Dispositions particulières relatives à l‘emballage en commun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Instructions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Dispositions spéciales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Codes-citerne pour les citernes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Catégorie de transport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Dispositions spéciales de transport - Colis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Dispositions spéciales de transport - Chargement, déchargement et manutention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Colis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Numéro d’identification du danger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Parfum voiture - Platinium Car ; citronellol ; geraniol ; allyl 3-cyclohexylpropionate ; (ethoxymethoxy)cyclododecane ; (2E)-2-ethyl-4-(2,2,3-trimethylcyclopent-3-en-1-yl)but-2-en-1-ol ; 2,6-dimethyloct-7-en-2-ol ; allyl (3-methylbutoxy)acetate ; pentyl salicylate ; allyl 3-cyclohexylpropionate ; linalyl acetate ; isoeugenol ; 2,6-dimethylhept-5-enal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allyl 3-cyclohexylpropionate ; (ethoxymethoxy)cyclododecane ; (2E)-2-ethyl-4-(2,2,3-trimethylcyclopent-3-en-1-yl)but-2-en-1-ol ; pentyl salicylate ; allyl 3-cyclohexylpropionate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Directives nationales</w:t>
      </w:r>
    </w:p>
    <w:tbl>
      <w:tblPr>
        <w:tblStyle w:val="SDSTableWithoutBorders"/>
        <w:tblW w:w="10491" w:type="dxa"/>
        <w:tblLayout w:type="fixed"/>
        <w:tblLook w:val="04A0"/>
      </w:tblPr>
      <w:tblGrid>
        <w:gridCol w:w="10491"/>
      </w:tblGrid>
      <w:tr w14:paraId="5124EAC9" w14:textId="77777777" w:rsidTr="00CE2D83">
        <w:tblPrEx>
          <w:tblW w:w="10491" w:type="dxa"/>
          <w:tblLayout w:type="fixed"/>
          <w:tblLook w:val="04A0"/>
        </w:tblPrEx>
        <w:trPr>
          <w:trHeight w:val="20"/>
        </w:trPr>
        <w:tc>
          <w:tcPr>
            <w:tcW w:w="10491" w:type="dxa"/>
            <w:tcBorders>
              <w:top w:val="none" w:sz="0" w:space="0" w:color="000000"/>
              <w:left w:val="none" w:sz="0" w:space="0" w:color="000000"/>
              <w:bottom w:val="none" w:sz="0" w:space="0" w:color="000000"/>
              <w:right w:val="none" w:sz="0" w:space="0" w:color="000000"/>
            </w:tcBorders>
          </w:tcPr>
          <w:p w:rsidR="00F430DC" w:rsidRPr="0069446B" w:rsidP="005C557D" w14:paraId="5F4E1267" w14:textId="396498DA">
            <w:pPr>
              <w:pStyle w:val="SDSTextHeading4"/>
              <w:rPr>
                <w:color w:val="auto"/>
              </w:rPr>
            </w:pPr>
            <w:r w:rsidRPr="0069446B">
              <w:rPr>
                <w:color w:val="auto"/>
              </w:rPr>
              <w:t>Finlande</w:t>
            </w:r>
          </w:p>
        </w:tc>
      </w:tr>
      <w:tr w14:paraId="4EB0E7BB" w14:textId="77777777" w:rsidTr="00CE2D83">
        <w:tblPrEx>
          <w:tblW w:w="10491" w:type="dxa"/>
          <w:tblLayout w:type="fixed"/>
          <w:tblLook w:val="04A0"/>
        </w:tblPrEx>
        <w:trPr>
          <w:trHeight w:val="20"/>
        </w:trPr>
        <w:tc>
          <w:tcPr>
            <w:tcW w:w="10491" w:type="dxa"/>
            <w:tcBorders>
              <w:top w:val="none" w:sz="0" w:space="0" w:color="000000"/>
              <w:left w:val="none" w:sz="0" w:space="0" w:color="000000"/>
              <w:bottom w:val="none" w:sz="0" w:space="0" w:color="000000"/>
              <w:right w:val="none" w:sz="0" w:space="0" w:color="000000"/>
            </w:tcBorders>
          </w:tcPr>
          <w:p w:rsidR="00F430DC" w:rsidRPr="0069446B" w:rsidP="005C557D" w14:paraId="1DA7F00D" w14:textId="0E094761">
            <w:pPr>
              <w:pStyle w:val="SDSTextHeading4"/>
              <w:rPr>
                <w:color w:val="auto"/>
              </w:rPr>
            </w:pPr>
            <w:r w:rsidRPr="0069446B" w:rsidR="00FA7F7F">
              <w:rPr>
                <w:noProof/>
                <w:color w:val="auto"/>
              </w:rPr>
              <w:t>France</w:t>
            </w:r>
          </w:p>
        </w:tc>
      </w:tr>
      <w:tr w14:paraId="584C76DD" w14:textId="77777777" w:rsidTr="00CE2D83">
        <w:tblPrEx>
          <w:tblW w:w="10491" w:type="dxa"/>
          <w:tblLayout w:type="fixed"/>
          <w:tblLook w:val="04A0"/>
        </w:tblPrEx>
        <w:trPr>
          <w:cantSplit w:val="0"/>
          <w:trHeight w:val="20"/>
        </w:trPr>
        <w:tc>
          <w:tcPr>
            <w:tcW w:w="10491" w:type="dxa"/>
            <w:tcBorders>
              <w:top w:val="none" w:sz="0" w:space="0" w:color="000000"/>
              <w:left w:val="none" w:sz="0" w:space="0" w:color="000000"/>
              <w:bottom w:val="none" w:sz="0" w:space="0" w:color="000000"/>
              <w:right w:val="none" w:sz="0" w:space="0" w:color="000000"/>
            </w:tcBorders>
          </w:tcPr>
          <w:tbl>
            <w:tblPr>
              <w:tblStyle w:val="SDSTableWithBordersWithHeaderRow"/>
              <w:tblW w:w="10477" w:type="dxa"/>
              <w:tblLayout w:type="fixed"/>
              <w:tblLook w:val="04A0"/>
            </w:tblPr>
            <w:tblGrid>
              <w:gridCol w:w="1981"/>
              <w:gridCol w:w="8496"/>
            </w:tblGrid>
            <w:tr w14:paraId="1ECC5E7E" w14:textId="77777777" w:rsidTr="00CE2D83">
              <w:tblPrEx>
                <w:tblW w:w="10477" w:type="dxa"/>
                <w:tblLayout w:type="fixed"/>
                <w:tblLook w:val="04A0"/>
              </w:tblPrEx>
              <w:trPr>
                <w:trHeight w:val="20"/>
                <w:tblHeader/>
              </w:trPr>
              <w:tc>
                <w:tcPr>
                  <w:tcW w:w="10477"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15A19" w14:paraId="3893F28A" w14:textId="29FBBBED">
                  <w:pPr>
                    <w:pStyle w:val="SDSTableTextBold"/>
                    <w:keepNext w:val="0"/>
                  </w:pPr>
                  <w:r w:rsidRPr="0069446B" w:rsidR="00290951">
                    <w:t>Maladies professionnelles</w:t>
                  </w:r>
                </w:p>
              </w:tc>
            </w:tr>
            <w:tr w14:paraId="6BEF88BE" w14:textId="77777777" w:rsidTr="00CE2D83">
              <w:tblPrEx>
                <w:tblW w:w="10477" w:type="dxa"/>
                <w:tblLayout w:type="fixed"/>
                <w:tblLook w:val="04A0"/>
              </w:tblPrEx>
              <w:trPr>
                <w:trHeight w:val="20"/>
                <w:tblHeader/>
              </w:trPr>
              <w:tc>
                <w:tcPr>
                  <w:tcW w:w="198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2151D0C1" w14:textId="13782F1F">
                  <w:pPr>
                    <w:pStyle w:val="SDSTableTextNormal"/>
                  </w:pPr>
                  <w:r w:rsidRPr="0069446B" w:rsidR="00290951">
                    <w:t>Code</w:t>
                  </w:r>
                </w:p>
              </w:tc>
              <w:tc>
                <w:tcPr>
                  <w:tcW w:w="849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5AC252CE" w14:textId="5E703CA3">
                  <w:pPr>
                    <w:pStyle w:val="SDSTableTextNormal"/>
                  </w:pPr>
                  <w:r w:rsidRPr="0069446B">
                    <w:rPr>
                      <w:noProof/>
                    </w:rPr>
                    <w:t>Description</w:t>
                  </w:r>
                </w:p>
              </w:tc>
            </w:tr>
            <w:tr w14:paraId="6BB13145" w14:textId="77777777" w:rsidTr="00CE2D83">
              <w:tblPrEx>
                <w:tblW w:w="10477" w:type="dxa"/>
                <w:tblLayout w:type="fixed"/>
                <w:tblLook w:val="04A0"/>
              </w:tblPrEx>
              <w:trPr>
                <w:trHeight w:val="676"/>
              </w:trPr>
              <w:tc>
                <w:tcPr>
                  <w:tcW w:w="198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5F5DCE0B" w14:textId="534EAEAF">
                  <w:pPr>
                    <w:pStyle w:val="SDSTableTextNormal"/>
                    <w:rPr>
                      <w:noProof w:val="0"/>
                    </w:rPr>
                  </w:pPr>
                  <w:r w:rsidRPr="0069446B" w:rsidR="00FA7F7F">
                    <w:rPr>
                      <w:noProof/>
                    </w:rPr>
                    <w:t>RG 84</w:t>
                  </w:r>
                </w:p>
              </w:tc>
              <w:tc>
                <w:tcPr>
                  <w:tcW w:w="849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2CB660ED" w14:textId="088BFBA8">
                  <w:pPr>
                    <w:pStyle w:val="SDSTableTextNormal"/>
                    <w:rPr>
                      <w:noProof w:val="0"/>
                    </w:rPr>
                  </w:pPr>
                  <w:r w:rsidRPr="0069446B">
                    <w:rPr>
                      <w:noProof/>
                    </w:rPr>
                    <w:t>Affections engendrées par les solvants organiques liquides à usage professionnel : hydrocarbures liquides aliphatiques ou cycliques saturés ou insaturés et leurs mélanges ; hydrocarbures halogénés liquides ; dérivés nitrés des hydrocarbures aliphatiques ; alcools ; glycols, éthers de glycol ; cétones ; aldéhydes ; éthers aliphatiques et cycliques, dont le tétrahydrofurane ; esters ; diméthylformamide et dimétylacétamine ; acétonitrile et propionitrile ; pyridine ; diméthylsulfone et diméthylsulfoxyde</w:t>
                  </w:r>
                </w:p>
              </w:tc>
            </w:tr>
          </w:tbl>
          <w:p w:rsidR="00F430DC" w:rsidRPr="0069446B" w:rsidP="005C557D" w14:paraId="07BC27B8" w14:textId="77777777">
            <w:pPr>
              <w:pStyle w:val="SDSTableTextNormal"/>
            </w:pP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1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2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Inhalation), catégorie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Inhalation), catégorie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4</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Non classé (par inhalation : poussières, brouillard)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(Inhalation:poussières,brouillard) Non classé</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spécifique pour certains organes cibles – Exposition unique, catégorie 3, Effets narcotiques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Mortel par inhalation.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irriter les voies respiratoires.</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somnolence ou vertiges.</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E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Acute Tox. Non classé (par inhalation : poussières, brouillard)</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Jugement d’experts</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Jugement d’experts</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r w14:paraId="76B6D774"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03/07/2026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03/07/2026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Parfum voiture - Platinium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Parfum voiture - Platinium Car</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03/07/2026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eader" Target="header3.xml"/><Relationship Id="rId8" Type="http://schemas.openxmlformats.org/officeDocument/2006/relationships/image" Target="media/image3.png"/><Relationship Id="rId21" Type="http://schemas.openxmlformats.org/officeDocument/2006/relationships/styles" Target="styles.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footer" Target="footer2.xml"/><Relationship Id="rId7" Type="http://schemas.openxmlformats.org/officeDocument/2006/relationships/image" Target="media/image2.png"/><Relationship Id="rId16" Type="http://schemas.openxmlformats.org/officeDocument/2006/relationships/footer" Target="footer1.xml"/><Relationship Id="rId2" Type="http://schemas.openxmlformats.org/officeDocument/2006/relationships/webSettings" Target="webSettings.xml"/><Relationship Id="rId20" Type="http://schemas.openxmlformats.org/officeDocument/2006/relationships/theme" Target="theme/theme1.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24" Type="http://schemas.openxmlformats.org/officeDocument/2006/relationships/customXml" Target="../customXml/item4.xml"/><Relationship Id="rId15" Type="http://schemas.openxmlformats.org/officeDocument/2006/relationships/header" Target="header2.xml"/><Relationship Id="rId5" Type="http://schemas.openxmlformats.org/officeDocument/2006/relationships/hyperlink" Target="mailto: office@labsys.fr" TargetMode="External"/><Relationship Id="rId23" Type="http://schemas.openxmlformats.org/officeDocument/2006/relationships/customXml" Target="../customXml/item3.xml"/><Relationship Id="rId10" Type="http://schemas.openxmlformats.org/officeDocument/2006/relationships/image" Target="media/image5.png"/><Relationship Id="rId19" Type="http://schemas.openxmlformats.org/officeDocument/2006/relationships/footer" Target="footer3.xml"/><Relationship Id="rId14" Type="http://schemas.openxmlformats.org/officeDocument/2006/relationships/header" Target="header1.xml"/><Relationship Id="rId4" Type="http://schemas.openxmlformats.org/officeDocument/2006/relationships/customXml" Target="../customXml/item1.xml"/><Relationship Id="rId9" Type="http://schemas.openxmlformats.org/officeDocument/2006/relationships/image" Target="media/image4.png"/><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B4106E6-9FA6-47AC-A8CE-C77E91EF01CC}"/>
</file>

<file path=customXml/itemProps3.xml><?xml version="1.0" encoding="utf-8"?>
<ds:datastoreItem xmlns:ds="http://schemas.openxmlformats.org/officeDocument/2006/customXml" ds:itemID="{5EF41DDC-9E60-4EC0-8565-B1F5AC3D6DFC}"/>
</file>

<file path=customXml/itemProps4.xml><?xml version="1.0" encoding="utf-8"?>
<ds:datastoreItem xmlns:ds="http://schemas.openxmlformats.org/officeDocument/2006/customXml" ds:itemID="{773D728A-1759-462D-BF06-CEE4820F5285}"/>
</file>

<file path=docProps/app.xml><?xml version="1.0" encoding="utf-8"?>
<Properties xmlns="http://schemas.openxmlformats.org/officeDocument/2006/extended-properties" xmlns:vt="http://schemas.openxmlformats.org/officeDocument/2006/docPropsVTypes">
  <Template>Normal</Template>
  <TotalTime>219</TotalTime>
  <Pages>23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