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Parfum voiture - Monoï Car</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1CX0-P0PV-W00A-DY3N</w:t>
            </w:r>
          </w:p>
        </w:tc>
      </w:tr>
      <w:tr w14:paraId="20BE6DFA"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0174F0" w:rsidRPr="0069446B" w:rsidP="000174F0" w14:paraId="12B46AA9" w14:textId="1C02B377">
            <w:pPr>
              <w:pStyle w:val="SDSTableTextNormal"/>
              <w:rPr>
                <w:noProof w:val="0"/>
              </w:rPr>
            </w:pPr>
            <w:r w:rsidRPr="0069446B" w:rsidR="00FA7F7F">
              <w:rPr>
                <w:noProof/>
              </w:rPr>
              <w:t>Code du produit</w:t>
            </w:r>
          </w:p>
        </w:tc>
        <w:tc>
          <w:tcPr>
            <w:tcW w:w="283" w:type="dxa"/>
            <w:tcBorders>
              <w:top w:val="none" w:sz="0" w:space="0" w:color="000000"/>
              <w:left w:val="none" w:sz="0" w:space="0" w:color="000000"/>
              <w:bottom w:val="none" w:sz="0" w:space="0" w:color="000000"/>
              <w:right w:val="none" w:sz="0" w:space="0" w:color="000000"/>
            </w:tcBorders>
          </w:tcPr>
          <w:p w:rsidR="000174F0" w:rsidRPr="0069446B" w:rsidP="00E10F57" w14:paraId="2E6C7FF5"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174F0" w:rsidRPr="0069446B" w:rsidP="000174F0" w14:paraId="13759414" w14:textId="54F86E0C">
            <w:pPr>
              <w:pStyle w:val="SDSTableTextNormal"/>
              <w:rPr>
                <w:noProof w:val="0"/>
              </w:rPr>
            </w:pPr>
            <w:r w:rsidRPr="0069446B" w:rsidR="00FA7F7F">
              <w:rPr>
                <w:noProof/>
              </w:rPr>
              <w:t>1874709</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Parfum pour voiture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Lésions oculaires graves/irritation oculaire, catégorie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H319</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8"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Peut provoquer une allergie cutanée. Provoque une sévère irritation des yeux. 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Pictogrammes de danger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citronellol; linalyl acetate; 2-benzylideneheptanal; α-hexylcinnamaldehyde; 3-methyl-4-(2,6,6-trimethyl-2-cyclohexen-1-yl)-3-buten-2-one; 3,7-dimethyloctan-3-ol; geraniol; 2-isopropoxyethyl salicylate; geranyl acetate; 1-(2,6,6-trimethyl-2-cyclohexen-1-yl)pent-1-en-3-one; cyclamen aldehyde; isoeugenol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Peut provoquer une allergie cutanée.</w:t>
              <w:br/>
              <w:t>H319 - Provoque une sévère irritation des yeux.</w:t>
              <w:b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P302+P352 - EN CAS DE CONTACT AVEC LA PEAU: Laver abondamment à l’eau et au savon.</w:t>
              <w:br/>
              <w:t>P305+P351+P338 - EN CAS DE CONTACT AVEC LES YEUX: Rincer avec précaution à l’eau pendant plusieurs minutes. Enlever les lentilles de contact si la victime en porte et si elles peuvent être facilement enlevées. Continuer à rincer.</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Composant</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Substance(s) non incluse(s) dans la liste établie conformément à l’article 59, al. 1, du règlement REACH pour avoir des propriétés perturbant le système endocrinien, ou non identifiée(s) comme ayant des propriétés perturbant le système endocrinien conformément aux critères énoncés dans le règlement délégué (UE) 2017/2100 de la Commission ou le règlement (UE) 2018/605 de la Commission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(2-methoxymethylethoxy)propanol</w:t>
            </w:r>
          </w:p>
          <w:p w:rsidR="00827634" w:rsidRPr="0069446B" w:rsidP="009B0F88" w14:paraId="147D3D58" w14:textId="33B2CEBF">
            <w:pPr>
              <w:pStyle w:val="SDSTableTextNormal"/>
              <w:rPr>
                <w:noProof w:val="0"/>
              </w:rPr>
            </w:pPr>
            <w:r w:rsidRPr="0069446B">
              <w:rPr>
                <w:noProof/>
              </w:rPr>
              <w:t>substance possédant une/des valeurs limites d’exposition professionnelle nationales (FR); substance possédant des valeurs limites d’exposition professionnelle communautaires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34590-94-8</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252-104-2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sidR="00FA7F7F">
              <w:rPr>
                <w:noProof/>
              </w:rPr>
              <w:t>Non classé</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140-11-4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205-399-7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10</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tetrahydro-2-isobutyl-4-methy</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63500-71-0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405-040-6</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603-101-00-3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8,5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2-phenylethanol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60-12-8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200-456-2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(ATE=1610 mg/kg)</w:t>
              <w:br/>
              <w:t>Eye Irrit. 2, H319</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2-naphthyl 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93-18-5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202-226-7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93-58-3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202-259-7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Repr. 2, H361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2-benzylideneheptanal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122-40-7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204-541-5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Terpineol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8000-41-7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701-188-3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2-isopropoxyethyl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79915-74-5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209-141-4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Sens. 1B, H317</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vanillin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121-32-4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204-464-7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3-methyl-4-(2,6,6-trimethyl-2-cyclohexen-1-yl)-3-buten-2-one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3,7-dimethyloctan-3-ol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78-69-3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201-133-9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C"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isobutyl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87-19-4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201-729-9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Aquatic Acute 1, H400</w:t>
              <w:br/>
              <w:t>Aquatic Chronic 2, H411</w:t>
            </w:r>
          </w:p>
        </w:tc>
      </w:tr>
      <w:tr w14:paraId="73AD14FD"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3, H412</w:t>
            </w:r>
          </w:p>
        </w:tc>
      </w:tr>
      <w:tr w14:paraId="73AD150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1-(2,6,6-trimethyl-2-cyclohexen-1-yl)pent-1-en-3-one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7779-30-8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231-926-5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inhalation), H332</w:t>
              <w:br/>
              <w:t>Skin Irrit. 2, H315</w:t>
              <w:br/>
              <w:t>Eye Irrit. 2, H319</w:t>
              <w:br/>
              <w:t>Skin Sens. 1, H317</w:t>
              <w:br/>
              <w:t>Aquatic Chronic 2, H411</w:t>
            </w:r>
          </w:p>
        </w:tc>
      </w:tr>
      <w:tr w14:paraId="73AD150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cyclamen 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103-95-7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203-161-7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Repr. 2, H361</w:t>
              <w:br/>
              <w:t>Aquatic Chronic 3, H412</w:t>
            </w:r>
          </w:p>
        </w:tc>
      </w:tr>
      <w:tr w14:paraId="73AD150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Acute Tox. 4 (par voie cutanée), H312 (ATE=1100 mg/kg de poids corporel)</w:t>
              <w:br/>
              <w:t>Acute Tox. 4 (par inhalation),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Limites de concentration spécifiques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Identificateur de produit</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Limites de concentration spécifiques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avec précaution à l’eau pendant plusieurs minutes. Enlever les lentilles de contact si la victime en porte et si elles peuvent être facilement enlevées. Continuer à rincer. Si l’irritation oculaire persiste: consulter un médecin.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Aucun(es) dans des conditions normales.</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Eau pulvérisée. Poudre sèche. Mousse. Dioxyde de carbone.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Obturer la fuite si cela peut se faire sans danger. 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Eloigner le personnel superflu. Obturer la fuite si cela peut se faire sans danger.</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Absorber tout produit répandu avec du sable ou de la terre. Contenir la matière déversée en l’endiguant ou à l’aide de matières absorbantes de façon à empêcher l’écoulement dans les égouts ou les cours d’eau. Stopper la fuite, si possible sans prendre de risque.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Absorber le liquide répandu dans un matériau absorbant.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B077C8" w:rsidRPr="0069446B" w:rsidP="00B077C8" w14:paraId="76C830A6" w14:textId="7C05BC4C">
      <w:pPr>
        <w:pStyle w:val="SDSTextHeading3"/>
        <w:rPr>
          <w:noProof w:val="0"/>
          <w:color w:val="auto"/>
          <w:lang w:val="en-US"/>
        </w:rPr>
      </w:pPr>
      <w:r w:rsidRPr="0069446B">
        <w:rPr>
          <w:noProof/>
          <w:color w:val="auto"/>
          <w:lang w:val="en-US"/>
        </w:rPr>
        <w:t>Valeurs limites nationales d’exposition professionnelle et biologiques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(2-methoxymethylethoxy)propanol</w:t>
            </w:r>
            <w:r w:rsidRPr="0069446B">
              <w:rPr>
                <w:noProof w:val="0"/>
                <w:color w:val="auto"/>
              </w:rPr>
              <w:t xml:space="preserve"> </w:t>
            </w:r>
            <w:r w:rsidRPr="0069446B" w:rsidR="00FD53E4">
              <w:rPr>
                <w:noProof/>
                <w:color w:val="auto"/>
              </w:rPr>
              <w:t>(34590-94-8)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UE - Valeur limite indicative d’exposition professionnelle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(2-Methoxymethylethoxy)-propanol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Remarque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Skin</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Référence réglementaire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2000/39/EC</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France - Valeurs Limites d’exposition professionnelle</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(2-Méthoxyméthyléthoxy)-propanol (Ether méthylique du dipropylène-glycol)</w:t>
            </w:r>
          </w:p>
        </w:tc>
      </w:tr>
      <w:tr w14:paraId="70951C3F"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8h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40"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8h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Remarque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Valeurs réglementaires contraignantes. Risque de pénétration percutanée</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Référence réglementaire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Article R4412-149 du Code du travail (réf.: INRS ED 6443, 2022; Outil65; Décret n° 2019-1487; Décret n° 2020-1546; Décret n° 2021-434; Décret n° 2021-1849; Décret n° 2024-307)</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Équipements de protection individuelle</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Equipement de protection individuelle</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Porter l’équipement de protection individuelle recommandé.</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Symbole(s) de l’équipement de protection individuelle</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3" name="" descr="Gants de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5" name="" descr="Lunettes de sécurit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7" name="" descr="Porter un vêtement de protection appropri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Pr>
          <w:noProof/>
          <w:color w:val="auto"/>
          <w:lang w:val="en-US"/>
        </w:rPr>
        <w:t>Protection des yeux et du visage</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Protection oculaire</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Lunettes de sécurité</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Protection de la peau</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Pr>
                <w:noProof/>
              </w:rPr>
              <w:t>Protection de la peau et du corps</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Porter un vêtement de protection approprié</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Protection des mains</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Gants de protection</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Protection respiratoire</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Protection respiratoire</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En cas de ventilation insuffisante, porter un appareil respiratoire approprié</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Liquide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Jaune. brun. Vert.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Florale. Fleur blanche.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Non applicable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Pas disponible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Pas disponible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Pas disponible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91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Pas disponible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Pas disponible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0,974</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Pas disponible</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Caractéristiques d’une particule</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Non applicable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methyl benzoate (93-58-3)</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de poids corporel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 vanillin (121-32-4)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3160 mg/kg de poids corporel Animal: rat, Guideline: OECD Guideline 401 (Acute Oral Toxicity)</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de poids corporel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3-methyl-4-(2,6,6-trimethyl-2-cyclohexen-1-yl)-3-buten-2-one (127-51-5)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Animal sex: female, Guideline: OECD Guideline 423 (Acute Oral toxicity - Acute Toxic Class Method)</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poids corporel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3,7-dimethyloctan-3-ol (78-69-3)</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8270 mg/kg de poids corporel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(2-methoxymethylethoxy)propanol (34590-94-8)</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de poids corporel Animal: rat, Guideline: OECD Guideline 401 (Acute Oral Toxicity)</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19020 mg/kg de poids corporel Animal: rat, Guideline: OECD Guideline 402 (Acute Dermal Toxicity)</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9510 mg/kg de poids corporel Animal: rabbit, Animal sex: 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de poids corporel Animal: rat, 95% CL: 2840 - 4570</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2-phenylethanol (60-12-8)</w:t>
            </w:r>
          </w:p>
        </w:tc>
      </w:tr>
      <w:tr w14:paraId="6700D31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2535 mg/kg de poids corporel Animal: rabbit, Guideline: OECD Guideline 402 (Acute Dermal Toxicity), 95% CL: 1769 - 3634</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sidR="00FA7F7F">
              <w:rPr>
                <w:noProof/>
              </w:rPr>
              <w:t>&gt; 4,63 mg/l air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Terpineol (8000-41-7)</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Guideline: OECD Guideline 401 (Acute Oral Toxicity)</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poids corporel Animal: rat, Guideline: OECD Guideline 402 (Acute Dermal Toxicity)</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&gt; 4,76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tetrahydro-2-isobutyl-4-methy (63500-71-0)</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Guideline: EU Method B.1 (Acute Toxicity (Oral)), Guideline: OECD Guideline 401 (Acute Oral Toxicity)</w:t>
            </w:r>
          </w:p>
        </w:tc>
      </w:tr>
      <w:tr w14:paraId="6700D31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de poids corporel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4"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B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6330 mg/kg de poids corporel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5"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cyclamen aldehyde (103-95-7)</w:t>
            </w:r>
          </w:p>
        </w:tc>
      </w:tr>
      <w:tr w14:paraId="02D6B5B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 5000 mg/kg de poids corporel Animal: rat, Guideline: OECD Guideline 401 (Acute Oral Toxicity)</w:t>
            </w:r>
          </w:p>
        </w:tc>
      </w:tr>
      <w:tr w14:paraId="14A1065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5000 mg/kg de poids corporel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6"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 2-naphthyl ether (93-18-5)</w:t>
            </w:r>
          </w:p>
        </w:tc>
      </w:tr>
      <w:tr w14:paraId="02D6B5B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Animal sex: female, Guideline: OECD Guideline 423 (Acute Oral toxicity - Acute Toxic Class Method)</w:t>
            </w:r>
          </w:p>
        </w:tc>
      </w:tr>
      <w:tr w14:paraId="14A1065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poids corporel Animal: rat,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3-methyl-4-(2,6,6-trimethyl-2-cyclohexen-1-yl)-3-buten-2-one (127-51-5)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A7593A" w:rsidRPr="0069446B" w:rsidP="009215A8" w14:textId="78B4B17E">
      <w:pPr>
        <w:pStyle w:val="SDSTextBlankLine"/>
      </w:pPr>
    </w:p>
    <w:tbl>
      <w:tblPr>
        <w:tblStyle w:val="SDSTableWithBordersWithHeaderRow"/>
        <w:tblW w:w="10489" w:type="dxa"/>
        <w:tblLayout w:type="fixed"/>
        <w:tblLook w:val="0020"/>
      </w:tblPr>
      <w:tblGrid>
        <w:gridCol w:w="3969"/>
        <w:gridCol w:w="6520"/>
      </w:tblGrid>
      <w:tr w14:paraId="6428FA58"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textId="112EF6DE">
            <w:pPr>
              <w:pStyle w:val="SDSTableTextHeading1"/>
              <w:rPr>
                <w:noProof w:val="0"/>
                <w:color w:val="auto"/>
              </w:rPr>
            </w:pPr>
            <w:r w:rsidRPr="0069446B" w:rsidR="00FA7F7F">
              <w:rPr>
                <w:noProof/>
                <w:color w:val="auto"/>
              </w:rPr>
              <w:t>ethyl 2-naphthyl ether (93-18-5)</w:t>
            </w:r>
          </w:p>
        </w:tc>
      </w:tr>
      <w:tr w14:paraId="6CC585F6"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textId="4EE742AD">
            <w:pPr>
              <w:pStyle w:val="SDSTableTextNormal"/>
              <w:rPr>
                <w:noProof w:val="0"/>
              </w:rPr>
            </w:pPr>
            <w:r w:rsidRPr="0069446B" w:rsidR="00FA7F7F">
              <w:rPr>
                <w:noProof/>
                <w:lang w:eastAsia="ja-JP"/>
              </w:rPr>
              <w:t>8,03 Temp.: 31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sidR="00FA7F7F">
              <w:rPr>
                <w:noProof/>
              </w:rPr>
              <w:t>Provoque une sévère irritation des yeux.</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3-methyl-4-(2,6,6-trimethyl-2-cyclohexen-1-yl)-3-buten-2-one (127-51-5)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A7593A" w:rsidRPr="0069446B" w:rsidP="009215A8" w14:textId="6455FAA7">
      <w:pPr>
        <w:pStyle w:val="SDSTextBlankLine"/>
      </w:pPr>
    </w:p>
    <w:tbl>
      <w:tblPr>
        <w:tblStyle w:val="SDSTableWithBordersWithHeaderRow"/>
        <w:tblW w:w="10489" w:type="dxa"/>
        <w:tblLayout w:type="fixed"/>
        <w:tblLook w:val="0020"/>
      </w:tblPr>
      <w:tblGrid>
        <w:gridCol w:w="3969"/>
        <w:gridCol w:w="6520"/>
      </w:tblGrid>
      <w:tr w14:paraId="4FDDC6C5"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textId="15263CC9">
            <w:pPr>
              <w:pStyle w:val="SDSTableTextHeading1"/>
              <w:rPr>
                <w:noProof w:val="0"/>
                <w:color w:val="auto"/>
              </w:rPr>
            </w:pPr>
            <w:r w:rsidRPr="0069446B" w:rsidR="00FA7F7F">
              <w:rPr>
                <w:noProof/>
                <w:color w:val="auto"/>
              </w:rPr>
              <w:t>ethyl 2-naphthyl ether (93-18-5)</w:t>
            </w:r>
          </w:p>
        </w:tc>
      </w:tr>
      <w:tr w14:paraId="58CDE2D2"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textId="52E8F024">
            <w:pPr>
              <w:pStyle w:val="SDSTableTextNormal"/>
              <w:rPr>
                <w:noProof w:val="0"/>
              </w:rPr>
            </w:pPr>
            <w:r w:rsidRPr="0069446B" w:rsidR="00FA7F7F">
              <w:rPr>
                <w:noProof/>
                <w:lang w:eastAsia="ja-JP"/>
              </w:rPr>
              <w:t>8,03 Temp.: 31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(chronique, oral, animal/mâle, 2 ans)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de poids corporel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ethyl vanillin (121-32-4)</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500 mg/kg de poids corporel Animal: rat, Animal sex: female,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Terpineol (8000-41-7)</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(animal/mâle,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250 mg/kg de poids corporel Animal: rat, Animal sex: male, Guideline: OECD Guideline 422 (Combined Repeated Dose Toxicity Study with the Reproduction / Developmental Toxicity Screening Test)</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250 mg/kg de poids corporel Animal: rat, Animal sex: female, Guideline: OECD Guideline 422 (Combined Repeated Dose Toxicity Study with the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cyclamen aldehyde (103-95-7)</w:t>
            </w:r>
          </w:p>
        </w:tc>
      </w:tr>
      <w:tr w14:paraId="08D78BFD"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8EA02F0">
            <w:pPr>
              <w:pStyle w:val="SDSTableTextNormal"/>
              <w:rPr>
                <w:noProof w:val="0"/>
              </w:rPr>
            </w:pPr>
            <w:r w:rsidRPr="0069446B" w:rsidR="00FA7F7F">
              <w:rPr>
                <w:noProof/>
              </w:rPr>
              <w:t>NOAEL (animal/mâle,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47DFFE0">
            <w:pPr>
              <w:pStyle w:val="SDSTableTextNormal"/>
              <w:rPr>
                <w:noProof w:val="0"/>
              </w:rPr>
            </w:pPr>
            <w:r w:rsidRPr="0069446B">
              <w:rPr>
                <w:noProof/>
              </w:rPr>
              <w:t>25 mg/kg de poids corporel Animal: rat, Animal sex: male, Guideline: OECD Guideline 415 [One-Generation Reproduction Toxicity Study (before 9 October 2017)]</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25 mg/kg de poids corporel Animal: rat, Animal sex: female, Guideline: OECD Guideline 415 [One-Generation Reproduction Toxicity Study (before 9 October 2017)]</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Toxicité spécifique pour certains organes cibles (STOT) (exposition unique)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Peut irriter les voies respiratoires.</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citronellol (106-22-9)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de poids corporel Animal: rat, Guideline: other:</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(inhalation, rat, poussière/brouillard/fumée,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0,063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3-methyl-4-(2,6,6-trimethyl-2-cyclohexen-1-yl)-3-buten-2-one (127-51-5)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 mg/kg de poids corporel Animal: rat, Animal sex: male, Guideline: OECD Guideline 408 (Repeated Dose 90-Day Oral Toxicity Study in Rodents)</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50 mg/kg de poids corporel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3,7-dimethyloctan-3-ol (78-69-3)</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(2-methoxymethylethoxy)propanol (34590-94-8)</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de poids corporel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de poids corporel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2-phenylethanol (60-12-8)</w:t>
            </w:r>
          </w:p>
        </w:tc>
      </w:tr>
      <w:tr w14:paraId="32F42FC1"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510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0"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Terpineol (8000-41-7)</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250 mg/kg de poids corporel Animal: rat, Animal sex: male, Guideline: OECD Guideline 422 (Combined Repeated Dose Toxicity Study with the Reproduction / Developmental Toxicity Screening Test)</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1"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tetrahydro-2-isobutyl-4-methy (63500-71-0)</w:t>
            </w:r>
          </w:p>
        </w:tc>
      </w:tr>
      <w:tr w14:paraId="07CBBCD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125 mg/kg de poids corporel Animal: rat, Guideline: OECD Guideline 407 (Repeated Dose 28-Day Oral Toxicity Study in Rodents)</w:t>
            </w:r>
          </w:p>
        </w:tc>
      </w:tr>
      <w:tr w14:paraId="32F42FC2"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1000 mg/kg de poids corporel Animal: rat, Guideline: OECD Guideline 411 (Subchronic Dermal Toxicity: 90-Day Study), Guideline: EU Method B.28 (Sub-Chronic Dermal Toxicity Test: 90-Day Repeated Dermal Dose Study Using Rodent Species)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2"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geranyl acetate (105-87-3)</w:t>
            </w:r>
          </w:p>
        </w:tc>
      </w:tr>
      <w:tr w14:paraId="07CBBCDA"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2000 mg/kg de poids corporel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3"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ethyl 2-naphthyl ether (93-18-5)</w:t>
            </w:r>
          </w:p>
        </w:tc>
      </w:tr>
      <w:tr w14:paraId="07CBBCDB"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125 mg/kg de poids corporel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3,7-dimethyloctan-3-ol (78-69-3)</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13,393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Informations sur les autres dangers</w:t>
      </w:r>
      <w:bookmarkEnd w:id="3"/>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citronellol (106-22-9)</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14,66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17,48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sidR="00FA7F7F">
              <w:rPr>
                <w:noProof/>
              </w:rPr>
              <w:t>2,4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methyl benzoate (93-58-3)</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 mg/l Test organisms (species): Danio rerio (previous name: Brachydanio rerio)</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111,9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 vanillin (121-32-4)</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87,6 mg/l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26,2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100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10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5,9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3-methyl-4-(2,6,6-trimethyl-2-cyclohexen-1-yl)-3-buten-2-one (127-51-5)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9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20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3,7-dimethyloctan-3-ol (78-69-3)</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8,9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14,2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21,6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(2-methoxymethylethoxy)propanol (34590-94-8)</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1000 mg/l Test organisms (species): Poecilia reticulata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CE50 - Autres organismes aquatiques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Pr>
                <w:noProof/>
              </w:rPr>
              <w:t>1930 mg/l Test organisms (species): other aquatic crustacea: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969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&gt; 969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0,5 mg/l Test organisms (species): Daphnia magna Duration: '22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 0,5 mg/l Test organisms (species): Daphnia magna Duration: '22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2-phenylethanol (60-12-8)</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215 – 464 mg/l Test organisms (species): Leuciscus idus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287,17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Terpineol (8000-41-7)</w:t>
            </w:r>
          </w:p>
        </w:tc>
      </w:tr>
      <w:tr w14:paraId="562CCB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62 – 80 mg/l Test organisms (species): Danio rerio (previous name: Brachydanio rerio)</w:t>
            </w:r>
          </w:p>
        </w:tc>
      </w:tr>
      <w:tr w14:paraId="66FAA3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 68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 17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tetrahydro-2-isobutyl-4-methy (63500-71-0)</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 320 mg/l Test organisms (species): Daphnia magna</w:t>
            </w:r>
          </w:p>
        </w:tc>
      </w:tr>
      <w:tr w14:paraId="66FAA3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100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14,1 mg/l Test organisms (species): Daphnia magna</w:t>
            </w:r>
          </w:p>
        </w:tc>
      </w:tr>
      <w:tr w14:paraId="66FAA3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cyclamen aldehyde (103-95-7)</w:t>
            </w:r>
          </w:p>
        </w:tc>
      </w:tr>
      <w:tr w14:paraId="562CCB6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1,42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2,49 mg/l Test organisms (species):</w:t>
            </w:r>
          </w:p>
        </w:tc>
      </w:tr>
      <w:tr w14:paraId="758D63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 mg/l Test organisms (species): Daphnia magna</w:t>
            </w:r>
          </w:p>
        </w:tc>
      </w:tr>
      <w:tr w14:paraId="66FAA3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4,3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2,7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3,8 mg/l Test organisms (species): Raphidocelis subcapitata (previous names: Pseudokirchneriella subcapitata, Selenastrum capricornutum)</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2,7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Parfum voiture - Monoï Car</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citronellol (106-22-9)</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benzoate (93-58-3)</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vanillin (121-32-4)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2-benzylideneheptanal (122-40-7)</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3-methyl-4-(2,6,6-trimethyl-2-cyclohexen-1-yl)-3-buten-2-one (127-51-5)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3,7-dimethyloctan-3-ol (78-69-3)</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(2-methoxymethylethoxy)propanol (34590-94-8)</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acetate (140-11-4)</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2-phenylethanol (60-12-8)</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Terpineol (8000-41-7)</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isobutyl salicylate (87-19-4)</w:t>
            </w:r>
          </w:p>
        </w:tc>
      </w:tr>
      <w:tr w14:paraId="2D6A99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tetrahydro-2-isobutyl-4-methy (63500-71-0)</w:t>
            </w:r>
          </w:p>
        </w:tc>
      </w:tr>
      <w:tr w14:paraId="2D6A99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2-isopropoxyethyl salicylate (79915-74-5)</w:t>
            </w:r>
          </w:p>
        </w:tc>
      </w:tr>
      <w:tr w14:paraId="2D6A99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1-(2,6,6-trimethyl-2-cyclohexen-1-yl)pent-1-en-3-one (7779-30-8)</w:t>
            </w:r>
          </w:p>
        </w:tc>
      </w:tr>
      <w:tr w14:paraId="2D6A99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cyclamen aldehyde (103-95-7)</w:t>
            </w:r>
          </w:p>
        </w:tc>
      </w:tr>
      <w:tr w14:paraId="2D6A99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2-naphthyl ether (93-18-5)</w:t>
            </w:r>
          </w:p>
        </w:tc>
      </w:tr>
      <w:tr w14:paraId="2D6A99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4"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HP4 - “Irritant – irritation cutanée et lésions oculaires”: déchet pouvant causer une irritation cutanée ou des lésions oculaires en cas d’application.</w:t>
              <w:b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Parfum voiture - Monoï Car ; citronellol ; methyl benzoate ; linalyl acetate ; 3-methyl-4-(2,6,6-trimethyl-2-cyclohexen-1-yl)-3-buten-2-one ; 3,7-dimethyloctan-3-ol ; geraniol ; 2-phenylethanol ; Terpineol ; tetrahydro-2-isobutyl-4-methy ; geranyl acetate ; cyclamen aldehyde ; isoeugenol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3-methyl-4-(2,6,6-trimethyl-2-cyclohexen-1-yl)-3-buten-2-one ; geranyl acetate ; cyclamen 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Directives nationales</w:t>
      </w:r>
    </w:p>
    <w:tbl>
      <w:tblPr>
        <w:tblStyle w:val="SDSTableWithoutBorders"/>
        <w:tblW w:w="10491" w:type="dxa"/>
        <w:tblLayout w:type="fixed"/>
        <w:tblLook w:val="04A0"/>
      </w:tblPr>
      <w:tblGrid>
        <w:gridCol w:w="10491"/>
      </w:tblGrid>
      <w:tr w14:paraId="5124EAC9" w14:textId="77777777" w:rsidTr="00CE2D83">
        <w:tblPrEx>
          <w:tblW w:w="10491" w:type="dxa"/>
          <w:tblLayout w:type="fixed"/>
          <w:tblLook w:val="04A0"/>
        </w:tblPrEx>
        <w:trPr>
          <w:trHeight w:val="20"/>
        </w:trPr>
        <w:tc>
          <w:tcPr>
            <w:tcW w:w="10491" w:type="dxa"/>
            <w:tcBorders>
              <w:top w:val="none" w:sz="0" w:space="0" w:color="000000"/>
              <w:left w:val="none" w:sz="0" w:space="0" w:color="000000"/>
              <w:bottom w:val="none" w:sz="0" w:space="0" w:color="000000"/>
              <w:right w:val="none" w:sz="0" w:space="0" w:color="000000"/>
            </w:tcBorders>
          </w:tcPr>
          <w:p w:rsidR="00F430DC" w:rsidRPr="0069446B" w:rsidP="005C557D" w14:paraId="5F4E1267" w14:textId="396498DA">
            <w:pPr>
              <w:pStyle w:val="SDSTextHeading4"/>
              <w:rPr>
                <w:color w:val="auto"/>
              </w:rPr>
            </w:pPr>
            <w:r w:rsidRPr="0069446B">
              <w:rPr>
                <w:color w:val="auto"/>
              </w:rPr>
              <w:t>Finlande</w:t>
            </w:r>
          </w:p>
        </w:tc>
      </w:tr>
      <w:tr w14:paraId="4EB0E7BB" w14:textId="77777777" w:rsidTr="00CE2D83">
        <w:tblPrEx>
          <w:tblW w:w="10491" w:type="dxa"/>
          <w:tblLayout w:type="fixed"/>
          <w:tblLook w:val="04A0"/>
        </w:tblPrEx>
        <w:trPr>
          <w:trHeight w:val="20"/>
        </w:trPr>
        <w:tc>
          <w:tcPr>
            <w:tcW w:w="10491" w:type="dxa"/>
            <w:tcBorders>
              <w:top w:val="none" w:sz="0" w:space="0" w:color="000000"/>
              <w:left w:val="none" w:sz="0" w:space="0" w:color="000000"/>
              <w:bottom w:val="none" w:sz="0" w:space="0" w:color="000000"/>
              <w:right w:val="none" w:sz="0" w:space="0" w:color="000000"/>
            </w:tcBorders>
          </w:tcPr>
          <w:p w:rsidR="00F430DC" w:rsidRPr="0069446B" w:rsidP="005C557D" w14:paraId="1DA7F00D" w14:textId="0E094761">
            <w:pPr>
              <w:pStyle w:val="SDSTextHeading4"/>
              <w:rPr>
                <w:color w:val="auto"/>
              </w:rPr>
            </w:pPr>
            <w:r w:rsidRPr="0069446B" w:rsidR="00FA7F7F">
              <w:rPr>
                <w:noProof/>
                <w:color w:val="auto"/>
              </w:rPr>
              <w:t>France</w:t>
            </w:r>
          </w:p>
        </w:tc>
      </w:tr>
      <w:tr w14:paraId="584C76DD" w14:textId="77777777" w:rsidTr="00CE2D83">
        <w:tblPrEx>
          <w:tblW w:w="10491" w:type="dxa"/>
          <w:tblLayout w:type="fixed"/>
          <w:tblLook w:val="04A0"/>
        </w:tblPrEx>
        <w:trPr>
          <w:cantSplit w:val="0"/>
          <w:trHeight w:val="20"/>
        </w:trPr>
        <w:tc>
          <w:tcPr>
            <w:tcW w:w="10491" w:type="dxa"/>
            <w:tcBorders>
              <w:top w:val="none" w:sz="0" w:space="0" w:color="000000"/>
              <w:left w:val="none" w:sz="0" w:space="0" w:color="000000"/>
              <w:bottom w:val="none" w:sz="0" w:space="0" w:color="000000"/>
              <w:right w:val="none" w:sz="0" w:space="0" w:color="000000"/>
            </w:tcBorders>
          </w:tcPr>
          <w:tbl>
            <w:tblPr>
              <w:tblStyle w:val="SDSTableWithBordersWithHeaderRow"/>
              <w:tblW w:w="10477" w:type="dxa"/>
              <w:tblLayout w:type="fixed"/>
              <w:tblLook w:val="04A0"/>
            </w:tblPr>
            <w:tblGrid>
              <w:gridCol w:w="1981"/>
              <w:gridCol w:w="8496"/>
            </w:tblGrid>
            <w:tr w14:paraId="1ECC5E7E" w14:textId="77777777" w:rsidTr="00CE2D83">
              <w:tblPrEx>
                <w:tblW w:w="10477" w:type="dxa"/>
                <w:tblLayout w:type="fixed"/>
                <w:tblLook w:val="04A0"/>
              </w:tblPrEx>
              <w:trPr>
                <w:trHeight w:val="20"/>
                <w:tblHeader/>
              </w:trPr>
              <w:tc>
                <w:tcPr>
                  <w:tcW w:w="10477"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15A19" w14:paraId="3893F28A" w14:textId="29FBBBED">
                  <w:pPr>
                    <w:pStyle w:val="SDSTableTextBold"/>
                    <w:keepNext w:val="0"/>
                  </w:pPr>
                  <w:r w:rsidRPr="0069446B" w:rsidR="00290951">
                    <w:t>Maladies professionnelles</w:t>
                  </w:r>
                </w:p>
              </w:tc>
            </w:tr>
            <w:tr w14:paraId="6BEF88BE" w14:textId="77777777" w:rsidTr="00CE2D83">
              <w:tblPrEx>
                <w:tblW w:w="10477" w:type="dxa"/>
                <w:tblLayout w:type="fixed"/>
                <w:tblLook w:val="04A0"/>
              </w:tblPrEx>
              <w:trPr>
                <w:trHeight w:val="20"/>
                <w:tblHeader/>
              </w:trPr>
              <w:tc>
                <w:tcPr>
                  <w:tcW w:w="198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C557D" w14:paraId="2151D0C1" w14:textId="13782F1F">
                  <w:pPr>
                    <w:pStyle w:val="SDSTableTextNormal"/>
                  </w:pPr>
                  <w:r w:rsidRPr="0069446B" w:rsidR="00290951">
                    <w:t>Code</w:t>
                  </w:r>
                </w:p>
              </w:tc>
              <w:tc>
                <w:tcPr>
                  <w:tcW w:w="849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C557D" w14:paraId="5AC252CE" w14:textId="5E703CA3">
                  <w:pPr>
                    <w:pStyle w:val="SDSTableTextNormal"/>
                  </w:pPr>
                  <w:r w:rsidRPr="0069446B">
                    <w:rPr>
                      <w:noProof/>
                    </w:rPr>
                    <w:t>Description</w:t>
                  </w:r>
                </w:p>
              </w:tc>
            </w:tr>
            <w:tr w14:paraId="6BB13145" w14:textId="77777777" w:rsidTr="00CE2D83">
              <w:tblPrEx>
                <w:tblW w:w="10477" w:type="dxa"/>
                <w:tblLayout w:type="fixed"/>
                <w:tblLook w:val="04A0"/>
              </w:tblPrEx>
              <w:trPr>
                <w:trHeight w:val="676"/>
              </w:trPr>
              <w:tc>
                <w:tcPr>
                  <w:tcW w:w="198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C557D" w14:paraId="5F5DCE0B" w14:textId="534EAEAF">
                  <w:pPr>
                    <w:pStyle w:val="SDSTableTextNormal"/>
                    <w:rPr>
                      <w:noProof w:val="0"/>
                    </w:rPr>
                  </w:pPr>
                  <w:r w:rsidRPr="0069446B" w:rsidR="00FA7F7F">
                    <w:rPr>
                      <w:noProof/>
                    </w:rPr>
                    <w:t>RG 84</w:t>
                  </w:r>
                </w:p>
              </w:tc>
              <w:tc>
                <w:tcPr>
                  <w:tcW w:w="849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C557D" w14:paraId="2CB660ED" w14:textId="088BFBA8">
                  <w:pPr>
                    <w:pStyle w:val="SDSTableTextNormal"/>
                    <w:rPr>
                      <w:noProof w:val="0"/>
                    </w:rPr>
                  </w:pPr>
                  <w:r w:rsidRPr="0069446B">
                    <w:rPr>
                      <w:noProof/>
                    </w:rPr>
                    <w:t>Affections engendrées par les solvants organiques liquides à usage professionnel : hydrocarbures liquides aliphatiques ou cycliques saturés ou insaturés et leurs mélanges ; hydrocarbures halogénés liquides ; dérivés nitrés des hydrocarbures aliphatiques ; alcools ; glycols, éthers de glycol ; cétones ; aldéhydes ; éthers aliphatiques et cycliques, dont le tétrahydrofurane ; esters ; diméthylformamide et dimétylacétamine ; acétonitrile et propionitrile ; pyridine ; diméthylsulfone et diméthylsulfoxyde</w:t>
                  </w:r>
                </w:p>
              </w:tc>
            </w:tr>
          </w:tbl>
          <w:p w:rsidR="00F430DC" w:rsidRPr="0069446B" w:rsidP="005C557D" w14:paraId="07BC27B8" w14:textId="77777777">
            <w:pPr>
              <w:pStyle w:val="SDSTableTextNormal"/>
            </w:pP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Inhalation),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cutanée)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cutanée), catégorie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orale), catégorie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pour la reproduction, catégorie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spécifique pour certains organes cibles – Exposition unique, catégorie 3, Irritation des voies respiratoires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contact cutané.</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de graves lésions des yeux.</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inhalation.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irriter les voies respiratoires.</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Susceptible de nuire à la fertilité ou au fœtus.</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Eye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H319</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Méthode de calcul</w:t>
            </w:r>
          </w:p>
        </w:tc>
      </w:tr>
      <w:tr w14:paraId="76B6D773"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03/07/2026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19</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19</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03/07/2026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19</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Parfum voiture - Monoï Car</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bottom w:val="single" w:sz="4" w:space="0" w:color="0070C0"/>
      </w:tblBorders>
      <w:tblLayout w:type="fixed"/>
      <w:tblCellMar>
        <w:left w:w="0" w:type="dxa"/>
        <w:bottom w:w="57" w:type="dxa"/>
        <w:right w:w="0" w:type="dxa"/>
      </w:tblCellMar>
      <w:tblLook w:val="04A0"/>
    </w:tblPr>
    <w:tblGrid>
      <w:gridCol w:w="2948"/>
      <w:gridCol w:w="4535"/>
      <w:gridCol w:w="3005"/>
    </w:tblGrid>
    <w:tr w14:paraId="48CF5240" w14:textId="77777777" w:rsidTr="008F5B08">
      <w:tblPrEx>
        <w:tblW w:w="10488" w:type="dxa"/>
        <w:tblBorders>
          <w:bottom w:val="single" w:sz="4" w:space="0" w:color="0070C0"/>
        </w:tblBorders>
        <w:tblLayout w:type="fixed"/>
        <w:tblCellMar>
          <w:left w:w="0" w:type="dxa"/>
          <w:bottom w:w="57" w:type="dxa"/>
          <w:right w:w="0" w:type="dxa"/>
        </w:tblCellMar>
        <w:tblLook w:val="04A0"/>
      </w:tblPrEx>
      <w:trPr>
        <w:trHeight w:val="20"/>
      </w:trPr>
      <w:tc>
        <w:tcPr>
          <w:tcW w:w="2948" w:type="dxa"/>
          <w:vMerge w:val="restart"/>
          <w:tcBorders>
            <w:top w:val="none" w:sz="0" w:space="0" w:color="000000"/>
            <w:left w:val="none" w:sz="0" w:space="0" w:color="000000"/>
            <w:bottom w:val="none" w:sz="0" w:space="0" w:color="000000"/>
            <w:right w:val="none" w:sz="0" w:space="0" w:color="000000"/>
          </w:tcBorders>
        </w:tcPr>
        <w:p w:rsidR="009C6C12" w:rsidRPr="00DB1125" w:rsidP="00DB1125" w14:paraId="2F81A3AB" w14:textId="70304125">
          <w:pPr>
            <w:pStyle w:val="SDSTableTextHeader"/>
          </w:pPr>
          <w:r>
            <w:drawing>
              <wp:inline>
                <wp:extent cx="1714500" cy="624078"/>
                <wp:docPr id="100009" name="" descr="Logo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
                        <a:stretch>
                          <a:fillRect/>
                        </a:stretch>
                      </pic:blipFill>
                      <pic:spPr>
                        <a:xfrm>
                          <a:off x="0" y="0"/>
                          <a:ext cx="1714500" cy="624078"/>
                        </a:xfrm>
                        <a:prstGeom prst="rect">
                          <a:avLst/>
                        </a:prstGeom>
                      </pic:spPr>
                    </pic:pic>
                  </a:graphicData>
                </a:graphic>
              </wp:inline>
            </w:drawing>
          </w:r>
        </w:p>
      </w:tc>
      <w:tc>
        <w:tcPr>
          <w:tcW w:w="7540" w:type="dxa"/>
          <w:gridSpan w:val="2"/>
          <w:tcBorders>
            <w:top w:val="none" w:sz="0" w:space="0" w:color="000000"/>
            <w:left w:val="none" w:sz="0" w:space="0" w:color="000000"/>
            <w:bottom w:val="nil"/>
            <w:right w:val="none" w:sz="0" w:space="0" w:color="000000"/>
          </w:tcBorders>
          <w:tcMar>
            <w:left w:w="0" w:type="dxa"/>
          </w:tcMar>
        </w:tcPr>
        <w:p w:rsidR="009C6C12" w:rsidRPr="008F5B08" w:rsidP="008F5B08" w14:paraId="1B70934B" w14:textId="4DAE3794">
          <w:pPr>
            <w:pStyle w:val="SDSTableTextHeader"/>
            <w:rPr>
              <w:b/>
              <w:sz w:val="32"/>
              <w:szCs w:val="32"/>
            </w:rPr>
          </w:pPr>
          <w:r>
            <w:rPr>
              <w:b/>
              <w:noProof/>
              <w:sz w:val="32"/>
              <w:szCs w:val="32"/>
            </w:rPr>
            <w:t>Parfum voiture - Monoï Car</w:t>
          </w:r>
        </w:p>
      </w:tc>
    </w:tr>
    <w:tr w14:paraId="7D50F31A"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none" w:sz="0" w:space="0" w:color="000000"/>
            <w:right w:val="none" w:sz="0" w:space="0" w:color="000000"/>
          </w:tcBorders>
        </w:tcPr>
        <w:p w:rsidR="009C6C12" w:rsidP="00DB1125" w14:paraId="54934F52" w14:textId="77777777">
          <w:pPr>
            <w:pStyle w:val="SDSTableTextHeader"/>
          </w:pPr>
        </w:p>
      </w:tc>
      <w:tc>
        <w:tcPr>
          <w:tcW w:w="4535" w:type="dxa"/>
          <w:tcBorders>
            <w:top w:val="none" w:sz="0" w:space="0" w:color="000000"/>
            <w:left w:val="none" w:sz="0" w:space="0" w:color="000000"/>
            <w:bottom w:val="nil"/>
            <w:right w:val="none" w:sz="0" w:space="0" w:color="000000"/>
          </w:tcBorders>
          <w:tcMar>
            <w:left w:w="0" w:type="dxa"/>
          </w:tcMar>
        </w:tcPr>
        <w:p w:rsidR="009C6C12" w:rsidP="00DB1125" w14:paraId="3256D01C" w14:textId="2272BE3F">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8F5B08" w14:paraId="45A8F1CC" w14:textId="64A3CD0E">
          <w:pPr>
            <w:pStyle w:val="SDSTableTextHeader"/>
            <w:jc w:val="right"/>
            <w:rPr>
              <w:b/>
              <w:color w:val="FF0000"/>
              <w:sz w:val="24"/>
              <w:szCs w:val="24"/>
            </w:rPr>
          </w:pPr>
        </w:p>
      </w:tc>
    </w:tr>
    <w:tr w14:paraId="2CED3BEE"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single" w:sz="4" w:space="0" w:color="000000"/>
            <w:right w:val="none" w:sz="0" w:space="0" w:color="000000"/>
          </w:tcBorders>
        </w:tcPr>
        <w:p w:rsidR="009C6C12" w:rsidP="00DB1125" w14:paraId="258B1E0A" w14:textId="77777777">
          <w:pPr>
            <w:pStyle w:val="SDSTableTextHeader"/>
          </w:pPr>
        </w:p>
      </w:tc>
      <w:tc>
        <w:tcPr>
          <w:tcW w:w="7540" w:type="dxa"/>
          <w:gridSpan w:val="2"/>
          <w:tcBorders>
            <w:top w:val="nil"/>
            <w:left w:val="none" w:sz="0" w:space="0" w:color="000000"/>
            <w:bottom w:val="single" w:sz="4" w:space="0" w:color="000000"/>
            <w:right w:val="none" w:sz="0" w:space="0" w:color="000000"/>
          </w:tcBorders>
          <w:tcMar>
            <w:left w:w="0" w:type="dxa"/>
          </w:tcMar>
        </w:tcPr>
        <w:p w:rsidR="009C6C12" w:rsidRPr="00A6053A" w:rsidP="008F5B08" w14:paraId="650C2731" w14:textId="5DC8054E">
          <w:pPr>
            <w:pStyle w:val="SDSTableTextHeader"/>
            <w:rPr>
              <w:lang w:val="fr-BE"/>
            </w:rPr>
          </w:pPr>
          <w:r w:rsidRPr="00A6053A">
            <w:rPr>
              <w:noProof/>
              <w:lang w:val="fr-BE"/>
            </w:rPr>
            <w:t>conformément au règlement (CE) n° 1907/2006 (REACH) modifié par le règlement (UE) 2020/878</w:t>
          </w:r>
        </w:p>
        <w:p w:rsidR="009C6C12" w:rsidRPr="008F5B08" w:rsidP="008F5B08" w14:paraId="31267F45" w14:textId="67A5CBF0">
          <w:pPr>
            <w:pStyle w:val="SDSTableTextHeader"/>
          </w:pPr>
          <w:r>
            <w:rPr>
              <w:noProof/>
            </w:rPr>
            <w:t>Date d’émission: 03/07/2026   Version: 5.0</w:t>
          </w:r>
        </w:p>
      </w:tc>
    </w:tr>
    <w:tr w14:paraId="0930DE40" w14:textId="77777777" w:rsidTr="00AE7B57">
      <w:tblPrEx>
        <w:tblW w:w="10488" w:type="dxa"/>
        <w:tblLayout w:type="fixed"/>
        <w:tblCellMar>
          <w:left w:w="0" w:type="dxa"/>
          <w:bottom w:w="57" w:type="dxa"/>
          <w:right w:w="0" w:type="dxa"/>
        </w:tblCellMar>
        <w:tblLook w:val="04A0"/>
      </w:tblPrEx>
      <w:trPr>
        <w:trHeight w:val="57"/>
      </w:trPr>
      <w:tc>
        <w:tcPr>
          <w:tcW w:w="2948" w:type="dxa"/>
          <w:tcBorders>
            <w:top w:val="single" w:sz="4" w:space="0" w:color="000000"/>
            <w:left w:val="none" w:sz="0" w:space="0" w:color="000000"/>
            <w:bottom w:val="nil"/>
            <w:right w:val="none" w:sz="0" w:space="0" w:color="000000"/>
          </w:tcBorders>
        </w:tcPr>
        <w:p w:rsidR="009C6C12" w:rsidRPr="00371194" w:rsidP="00371194" w14:paraId="2420E657" w14:textId="77777777">
          <w:pPr>
            <w:pStyle w:val="SDSTextBlankLine"/>
          </w:pPr>
        </w:p>
      </w:tc>
      <w:tc>
        <w:tcPr>
          <w:tcW w:w="7540" w:type="dxa"/>
          <w:gridSpan w:val="2"/>
          <w:tcBorders>
            <w:top w:val="single" w:sz="4" w:space="0" w:color="000000"/>
            <w:left w:val="none" w:sz="0" w:space="0" w:color="000000"/>
            <w:bottom w:val="nil"/>
            <w:right w:val="none" w:sz="0" w:space="0" w:color="000000"/>
          </w:tcBorders>
          <w:tcMar>
            <w:left w:w="0" w:type="dxa"/>
          </w:tcMar>
        </w:tcPr>
        <w:p w:rsidR="009C6C12" w:rsidRPr="00371194" w:rsidP="00371194" w14:paraId="1D31590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8" Type="http://schemas.openxmlformats.org/officeDocument/2006/relationships/image" Target="media/image3.png"/><Relationship Id="rId18" Type="http://schemas.openxmlformats.org/officeDocument/2006/relationships/customXml" Target="../customXml/item2.xml"/><Relationship Id="rId3" Type="http://schemas.openxmlformats.org/officeDocument/2006/relationships/fontTable" Target="fontTable.xml"/><Relationship Id="rId12" Type="http://schemas.openxmlformats.org/officeDocument/2006/relationships/footer" Target="footer1.xml"/><Relationship Id="rId17" Type="http://schemas.openxmlformats.org/officeDocument/2006/relationships/styles" Target="styles.xml"/><Relationship Id="rId7" Type="http://schemas.openxmlformats.org/officeDocument/2006/relationships/image" Target="media/image2.png"/><Relationship Id="rId16" Type="http://schemas.openxmlformats.org/officeDocument/2006/relationships/theme" Target="theme/theme1.xml"/><Relationship Id="rId2" Type="http://schemas.openxmlformats.org/officeDocument/2006/relationships/webSettings" Target="webSettings.xml"/><Relationship Id="rId20"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header" Target="header2.xml"/><Relationship Id="rId6" Type="http://schemas.openxmlformats.org/officeDocument/2006/relationships/image" Target="media/image1.png"/><Relationship Id="rId15" Type="http://schemas.openxmlformats.org/officeDocument/2006/relationships/footer" Target="footer3.xml"/><Relationship Id="rId5" Type="http://schemas.openxmlformats.org/officeDocument/2006/relationships/hyperlink" Target="mailto:office@labsys.fr" TargetMode="External"/><Relationship Id="rId10" Type="http://schemas.openxmlformats.org/officeDocument/2006/relationships/header" Target="header1.xml"/><Relationship Id="rId19" Type="http://schemas.openxmlformats.org/officeDocument/2006/relationships/customXml" Target="../customXml/item3.xml"/><Relationship Id="rId14"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image" Target="media/image4.png"/></Relationships>
</file>

<file path=word/_rels/header3.xml.rels><?xml version="1.0" encoding="utf-8" standalone="yes"?><Relationships xmlns="http://schemas.openxmlformats.org/package/2006/relationships"><Relationship Id="rId1" Type="http://schemas.openxmlformats.org/officeDocument/2006/relationships/image" Target="media/image5.png" /></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EC5A7B5D-3852-4AF4-B179-B4A40319C980}"/>
</file>

<file path=customXml/itemProps3.xml><?xml version="1.0" encoding="utf-8"?>
<ds:datastoreItem xmlns:ds="http://schemas.openxmlformats.org/officeDocument/2006/customXml" ds:itemID="{C4379A35-4313-46B9-8FC5-DE1CAC6BBC45}"/>
</file>

<file path=customXml/itemProps4.xml><?xml version="1.0" encoding="utf-8"?>
<ds:datastoreItem xmlns:ds="http://schemas.openxmlformats.org/officeDocument/2006/customXml" ds:itemID="{E8F37572-1C68-4583-A4DA-24B211B1F96C}"/>
</file>

<file path=docProps/app.xml><?xml version="1.0" encoding="utf-8"?>
<Properties xmlns="http://schemas.openxmlformats.org/officeDocument/2006/extended-properties" xmlns:vt="http://schemas.openxmlformats.org/officeDocument/2006/docPropsVTypes">
  <Template>Normal</Template>
  <TotalTime>219</TotalTime>
  <Pages>19</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