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Parfum voiture - Fruits rouges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QHX0-Q02P-H00A-QN8S</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Code du produit</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1874708</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Parfum pour voiture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Lésions oculaires graves/irritation oculaire Non classé</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r w:rsidRPr="0069446B">
              <w:rPr>
                <w:noProof/>
              </w:rPr>
              <w:t>Compte tenu des données disponibles, les critères de classification ne sont pas remplis</w:t>
            </w: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Provoque une sévère irritation des yeux.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3-methyl-4-(2,6,6-trimethyl-2-cyclohexen-1-yl)-3-buten-2-one; ALPHA-METHYL-ALPHA-IONONE; (E)-1-(2,6,6-trimethyl-2-cyclohexen-1-yl)-2-buten-1-one; 1-(2,6,6-trimethyl-1-cyclohexen-1-yl)pent-1-en-3-one; d-limonene; cyclamen aldehyde; linalool; 2-benzylideneheptanal; 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P391 - Recueillir le produit répandu.</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Ionone, methyl- (1335-46-2)</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Ionone, methyl- (1335-46-2)</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substance possédant une/des valeurs limites d’exposition professionnelle nationales (FR); substance possédant des valeurs limites d’exposition professionnelle communautaires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Non classé</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20</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Ionone, methyl-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1335-46-2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215-635-0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ALPHA-METHYL-ALPHA-IONONE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127-42-4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(E)-1-(2,6,6-trimethyl-2-cyclohexen-1-yl)-2-buten-1-one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24720-09-0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246-430-4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Acute 1, H400</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1-(2,6,6-trimethyl-1-cyclohexen-1-yl)pent-1-en-3-one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23696-85-7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245-833-2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1A,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Recueillir le produit répandu.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B077C8" w:rsidRPr="0069446B" w:rsidP="00B077C8" w14:paraId="76C830A6" w14:textId="7C05BC4C">
      <w:pPr>
        <w:pStyle w:val="SDSTextHeading3"/>
        <w:rPr>
          <w:noProof w:val="0"/>
          <w:color w:val="auto"/>
          <w:lang w:val="en-US"/>
        </w:rPr>
      </w:pPr>
      <w:r w:rsidRPr="0069446B">
        <w:rPr>
          <w:noProof/>
          <w:color w:val="auto"/>
          <w:lang w:val="en-US"/>
        </w:rPr>
        <w:t>Valeurs limites nationales d’exposition professionnelle et biologiques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Valeur limite indicative d’exposition professionnelle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France - Valeurs Limites d’exposition professionnelle</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(2-Méthoxyméthyléthoxy)-propanol (Ether méthylique du dipropylène-glycol)</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Valeurs réglementaires contraignantes. Risque de pénétration percutanée</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Article R4412-149 du Code du travail (réf.: INRS ED 6443, 2022; Outil65; Décret n° 2019-1487; Décret n° 2020-1546; Décret n° 2021-434; Décret n° 2021-1849; Décret n° 2024-307)</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 Jaune.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vanillin (121-33-5)</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Ionone, methyl- (1335-46-2)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423 (Acute Oral toxicity - Acute Toxic Class Method), Guideline: EU Method B.1 (Acute Toxicity (Oral))</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19020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de poids corporel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de poids corporel Animal: rat, Guideline: OECD Guideline 401 (Acute Oral Toxicity)</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poids corporel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de poids corporel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de poids corporel Animal: rat, Animal sex: male, Guideline: OECD Guideline 415 [One-Generation Reproduction Toxicity Study (before 9 October 2017)]</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de poids corporel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(E)-1-(2,6,6-trimethyl-2-cyclohexen-1-yl)-2-buten-1-one (24720-09-0)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de poids corporel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Informations sur les autres dangers</w:t>
      </w:r>
      <w:bookmarkEnd w:id="4"/>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Toxique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vanillin (121-33-5)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123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36,79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Ionone, methyl- (1335-46-2)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1,57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9,42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Autres organismes aquatiques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(E)-1-(2,6,6-trimethyl-2-cyclohexen-1-yl)-2-buten-1-one (24720-09-0)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Parfum voiture - Fruits rouges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vanillin (121-33-5)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Ionone, methyl- (1335-46-2)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ALPHA-METHYL-ALPHA-IONONE (127-42-4)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(E)-1-(2,6,6-trimethyl-2-cyclohexen-1-yl)-2-buten-1-one (24720-09-0)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1-(2,6,6-trimethyl-1-cyclohexen-1-yl)pent-1-en-3-one (127-43-5)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1-(2,6,6-trimethyl-1,3-cyclohexadien-1-yl)-2-buten-1-one (23696-85-7)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Ionone, methyl- (1335-46-2)</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Ionone, methyl- (1335-46-2)</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5"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(PRODUITS POUR PARFUMERIE)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(PRODUITS POUR PARFUMERIE),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(PRODUITS POUR PARFUMERIE), 9, III, POLLUANT MARIN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(PRODUITS POUR PARFUMERIE),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(PRODUITS POUR PARFUMERIE),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9"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Oui</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1"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Parfum voiture - Fruits rouges Car ; linalyl acetate ; benzyl benzoate ; Ionone, methyl- ; 3-methyl-4-(2,6,6-trimethyl-2-cyclohexen-1-yl)-3-buten-2-one ; (E)-1-(2,6,6-trimethyl-2-cyclohexen-1-yl)-2-buten-1-one ; d-limonene ; cyclamen 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Ionone, methyl- ; 3-methyl-4-(2,6,6-trimethyl-2-cyclohexen-1-yl)-3-buten-2-one ; (E)-1-(2,6,6-trimethyl-2-cyclohexen-1-yl)-2-buten-1-one ; d-limonene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Dam./Irrit. Non classé</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Non classé</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Dam./Irrit. Non classé</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Jugement d’experts</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03/07/2026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03/07/2026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Parfum voiture - Fruits rouges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Parfum voiture - Fruits rouges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03/07/2026   Version: 5.0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3.xml"/><Relationship Id="rId8" Type="http://schemas.openxmlformats.org/officeDocument/2006/relationships/image" Target="media/image3.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2.xml"/><Relationship Id="rId7" Type="http://schemas.openxmlformats.org/officeDocument/2006/relationships/image" Target="media/image2.png"/><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4.xml"/><Relationship Id="rId15" Type="http://schemas.openxmlformats.org/officeDocument/2006/relationships/header" Target="header2.xml"/><Relationship Id="rId5" Type="http://schemas.openxmlformats.org/officeDocument/2006/relationships/hyperlink" Target="mailto:office@labsys.fr" TargetMode="External"/><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A736A5F-4748-420F-9B93-42D262F5B2EF}"/>
</file>

<file path=customXml/itemProps3.xml><?xml version="1.0" encoding="utf-8"?>
<ds:datastoreItem xmlns:ds="http://schemas.openxmlformats.org/officeDocument/2006/customXml" ds:itemID="{027C9BE1-0E0D-40D7-B290-5D7EFFC70C5E}"/>
</file>

<file path=customXml/itemProps4.xml><?xml version="1.0" encoding="utf-8"?>
<ds:datastoreItem xmlns:ds="http://schemas.openxmlformats.org/officeDocument/2006/customXml" ds:itemID="{7F02909A-00F0-478F-8EA6-A9CC25CEE132}"/>
</file>

<file path=docProps/app.xml><?xml version="1.0" encoding="utf-8"?>
<Properties xmlns="http://schemas.openxmlformats.org/officeDocument/2006/extended-properties" xmlns:vt="http://schemas.openxmlformats.org/officeDocument/2006/docPropsVTypes">
  <Template>Normal</Template>
  <TotalTime>219</TotalTime>
  <Pages>19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