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Parfum voiture - Black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M3X0-50MP-Y00U-EXCF</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Code du produit</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1874712</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Parfum pour voiture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Corrosif/irritant pour la peau,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geranyl acetate; linalyl acetate; acetyl cedrene; 1-(1,2,3,4,5,6,7,8-octahydro-2,3,8,8-tetramethyl-2-naphthyl)ethan-1-one; d-limonene; α-hexylcinnamaldehyde; linalool; pin-2(10)-ene; coumarin; cyclamen aldehyde; Cyclohexanemethanol, 4-(1-methylethyl)-; methyl non-2-ynoate; Eugenol; methyl atrarate; p-mentha-1,4(8)-diène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Provoque une irritation cutanée.</w:t>
              <w:b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P305+P351+P338 - EN CAS DE CONTACT AVEC LES YEUX: Rincer avec précaution à l’eau pendant plusieurs minutes. Enlever les lentilles de contact si la victime en porte et si elles peuvent être facilement enlevées. Continuer à rincer.</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Non classé</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99-85-4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202-794-6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Repr. 2, H361</w:t>
              <w:br/>
              <w:t>Asp. Tox. 1, H304</w:t>
              <w:br/>
              <w:t>Aquatic Chronic 2, H411</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Cyclohexanemethanol, 4-(1-methylethyl)-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5502-75-0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939-719-8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 H317</w:t>
              <w:br/>
              <w:t>Aquatic Acute 1, H400</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7-methyl-3-methyleneocta-1,6-diene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123-35-3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204-622-5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Eye Irrit. 2, H319</w:t>
              <w:br/>
              <w:t>Asp. Tox. 1, H304</w:t>
              <w:br/>
              <w:t>Aquatic Acute 1, H400</w:t>
              <w:br/>
              <w:t>Aquatic Chronic 2, H411</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p-mentha-1,4(8)-diène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br/>
              <w:t>Asp. Tox. 1, H304</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Recueillir le produit répandu.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(2-Méthoxyméthyléthoxy)-propanol (Ether méthylique du dipropylène-glycol)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contraignantes. Risque de pénétration percutanée</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Article R4412-149 du Code du travail (réf.: INRS ED 6443, 2022; Outil65; Décret n° 2019-1487; Décret n° 2020-1546; Décret n° 2021-434; Décret n° 2021-1849; Décret n° 2024-307)</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Jaune. Vert. Orange.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0,939</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geranyl acetate (105-87-3)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6330 mg/kg de poids corporel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de poids corporel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de poids corporel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poids corporel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p-mentha-1,4-diene (99-85-4)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Cyclohexanemethanol, 4-(1-methylethyl)- (5502-75-0)</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10000 mg/kg de poids corporel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7-methyl-3-methyleneocta-1,6-diene (123-35-3)</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11390 mg/kg de poids corporel Animal: rat</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&gt; 3380 mg/kg de poids corporel Animal: mouse</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p-mentha-1,4(8)-diène (586-62-9)</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Provoque une irritation cutanée.</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de poids corporel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p-mentha-1,4-diene (99-85-4)</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de poids corporel Animal: rat, Animal sex: male, Guideline: OECD Guideline 422 (Combined Repeated Dose Toxicity Study with the Reproduction / Developmental Toxicity Screening Test)</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250 mg/kg de poids corporel Animal: rat, Animal sex: male, Guideline: OECD Guideline 422 (Combined Repeated Dose Toxicity Study with the Reproduction / Developmental Toxicity Screening Test)</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9"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 717 mg/kg de poids corporel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6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de poids corporel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A"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p-mentha-1,4(8)-diène (586-62-9)</w:t>
            </w:r>
          </w:p>
        </w:tc>
      </w:tr>
      <w:tr w14:paraId="08D78C0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294,6 mg/kg de poids corporel Animal: rat, Animal sex: male, Guideline: OECD Guideline 422 (Combined Repeated Dose Toxicity Study with the Reproduction / Developmental Toxicity Screening Test)</w:t>
            </w:r>
          </w:p>
        </w:tc>
      </w:tr>
      <w:tr w14:paraId="7F5CEB64"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provoquer somnolence ou vertiges.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Cyclohexanemethanol, 4-(1-methylethyl)- (5502-75-0)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7-methyl-3-methyleneocta-1,6-diene (123-35-3)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de poids corporel Animal: rat, Guideline: OECD Guideline 408 (Repeated Dose 90-Day Oral Toxicity Study in Rodents)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500 mg/kg de poids corporel Animal: mouse, Animal sex: male, Guideline: OECD Guideline 408 (Repeated Dose 90-Day Oral Toxicity Study in Rodents)</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250 mg/kg de poids corporel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de poids corporel Animal: mouse, Animal sex: male, Guideline: other:</w:t>
            </w:r>
          </w:p>
        </w:tc>
      </w:tr>
      <w:tr w14:paraId="72CFCC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Informations sur les autres dangers</w:t>
      </w:r>
      <w:bookmarkEnd w:id="4"/>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geranyl acetate (105-87-3)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68,12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0,7024487 mg/l Test organisms (species): Desmodesmus subspicatus (previous name: Scenedesmus subspicatus)</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p-mentha-1,4-diene (99-85-4)</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10,82 mg/l Test organisms (species): Scenedesmus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Cyclohexanemethanol, 4-(1-methylethyl)- (5502-75-0)</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13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7-methyl-3-methyleneocta-1,6-diene (123-35-3)</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1,47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0,342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p-mentha-1,4(8)-diène (586-62-9)</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Parfum voiture - Black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geranyl acetate (105-87-3)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pin-2(10)-ene (127-91-3)</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p-mentha-1,4-diene (99-85-4)</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Cyclohexanemethanol, 4-(1-methylethyl)- (5502-75-0)</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7-methyl-3-methyleneocta-1,6-diene (123-35-3)</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p-mentha-1,4(8)-diène (586-62-9)</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5"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(PRODUITS POUR PARFUMERIE)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(PRODUITS POUR PARFUMERIE),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(PRODUITS POUR PARFUMERIE),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(PRODUITS POUR PARFUMERIE),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p-mentha-1,4-diene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Parfum voiture - Black Car ; geranyl acetate ; linalyl acetate ; pentyl salicylate ; acetyl cedrene ; d-limonene ; 2,6-dimethyloct-7-en-2-ol ; linalool ; Sandal Mysore core ; cyclamen aldehyde ; p-mentha-1,4-diene ; Cyclohexanemethanol, 4-(1-methylethyl)- ; 7-methyl-3-methyleneocta-1,6-diene ; Eugenol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geranyl acetate ; pentyl salicylate ; acetyl cedrene ; d-limonene ; 1,3,4,6,7,8-hexahydro-4,6,6,7,8,8-hexamethylindeno[5,6-c]pyran ; Sandal Mysore core ; cyclamen aldehyde ; p-mentha-1,4-diene ; Cyclohexanemethanol, 4-(1-methylethyl)-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Effets narcotiques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somnolence ou vertiges.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06/07/2026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06/07/2026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Parfum voiture - Black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Parfum voiture - Black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06/07/2026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88BD8AB-0EB6-40ED-A353-379971563584}"/>
</file>

<file path=customXml/itemProps3.xml><?xml version="1.0" encoding="utf-8"?>
<ds:datastoreItem xmlns:ds="http://schemas.openxmlformats.org/officeDocument/2006/customXml" ds:itemID="{807D6CE1-668D-4F20-9A71-D7499CF4B7BB}"/>
</file>

<file path=customXml/itemProps4.xml><?xml version="1.0" encoding="utf-8"?>
<ds:datastoreItem xmlns:ds="http://schemas.openxmlformats.org/officeDocument/2006/customXml" ds:itemID="{6A4021C7-FEED-4BF8-8C36-B3C27FDBD319}"/>
</file>

<file path=docProps/app.xml><?xml version="1.0" encoding="utf-8"?>
<Properties xmlns="http://schemas.openxmlformats.org/officeDocument/2006/extended-properties" xmlns:vt="http://schemas.openxmlformats.org/officeDocument/2006/docPropsVTypes">
  <Template>Normal</Template>
  <TotalTime>219</TotalTime>
  <Pages>23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