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tiaré et jasmin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linalool, linalyl acetate, HEXYL CINNAMAL.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Potassium (hydroxyde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Glycérine (aérosols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Suave.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27200 mg/kg de poids corporel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vaisselle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benzyl salicylate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salicylate ; 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linalool, linalyl acetate, HEXYL CINNAMAL.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Liquide vaisselle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Liquide vaisselle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6B7C0E4-2226-41F8-AFC0-A171B6FEECA1}"/>
</file>

<file path=customXml/itemProps3.xml><?xml version="1.0" encoding="utf-8"?>
<ds:datastoreItem xmlns:ds="http://schemas.openxmlformats.org/officeDocument/2006/customXml" ds:itemID="{0D92CD45-18EB-4C02-A747-6DD2BAD21490}"/>
</file>

<file path=customXml/itemProps4.xml><?xml version="1.0" encoding="utf-8"?>
<ds:datastoreItem xmlns:ds="http://schemas.openxmlformats.org/officeDocument/2006/customXml" ds:itemID="{274B9285-BE9E-40B6-8D08-5459766D6B21}"/>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