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Liquide vaisselle - santal précieux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Détergents pour vaisselle à la main</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Liquides inflammables Non classé</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Lésions oculaires graves/irritation oculaire,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Provoque une sévère irritation des yeux.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H319 - Provoque une sévère irritation des yeux.</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P305+P351+P338 - EN CAS DE CONTACT AVEC LES YEUX: Rincer avec précaution à l’eau pendant plusieurs minutes. Enlever les lentilles de contact si la victime en porte et si elles peuvent être facilement enlevées. Continuer à rincer.</w:t>
              <w:br/>
              <w:t>P337+P313 - Si l’irritation oculaire persiste: consulter un médecin.</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TETRAMETHYL ACETYLOCTAHYDRONAPHTHALENES, CINNAMAL.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Non classé</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avec précaution à l’eau pendant plusieurs minutes. Enlever les lentilles de contact si la victime en porte et si elles peuvent être facilement enlevées. Continuer à rincer. Si l’irritation oculaire persiste: consulter un médecin.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Glycérine (aérosols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France - Valeurs Limites d’exposition professionnelle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Potassium (hydroxyde de)</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déterminé</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de poids corporel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de poids corporel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voie cutanée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poids corporel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Inhalation - Rat (Poussière/brouillard)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Inhalation - Rat (Vapeurs)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poids corporel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Provoque une sévère irritation des yeux.</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poids corporel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poids corporel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Liquide vaisselle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Mobilité dans le sol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savon, agents de surface anioniques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Non classé</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TETRAMETHYL ACETYLOCTAHYDRONAPHTHALENES, CINNAMAL.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classé</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Jugement d’experts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Liquide vaisselle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Liquide vaisselle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22358E2-D2EF-436B-8148-C9B37BCBD944}"/>
</file>

<file path=customXml/itemProps3.xml><?xml version="1.0" encoding="utf-8"?>
<ds:datastoreItem xmlns:ds="http://schemas.openxmlformats.org/officeDocument/2006/customXml" ds:itemID="{A220266C-7E3A-425A-BFDB-23CBA885465C}"/>
</file>

<file path=customXml/itemProps4.xml><?xml version="1.0" encoding="utf-8"?>
<ds:datastoreItem xmlns:ds="http://schemas.openxmlformats.org/officeDocument/2006/customXml" ds:itemID="{2557B4D9-3514-464A-8924-43E779D4D13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