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olive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ISOBORNEOL.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bornan-2-one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Acute Tox. 4 (par voie orale), H302 (ATE=500 mg/kg de poids corporel)</w:t>
              <w:br/>
              <w:t>Acute Tox. 4 (par inhalation), H332 (ATE=1,5 mg/l/4h)</w:t>
              <w:br/>
              <w:t>Skin Irrit. 2, H315</w:t>
              <w:br/>
              <w:t>Eye Dam. 1, H318</w:t>
              <w:br/>
              <w:t>STOT SE 2, H371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bornan-2-one</w:t>
            </w:r>
            <w:r w:rsidRPr="0069446B">
              <w:rPr>
                <w:noProof w:val="0"/>
                <w:color w:val="auto"/>
              </w:rPr>
              <w:t xml:space="preserve"> </w:t>
            </w:r>
            <w:r w:rsidRPr="0069446B" w:rsidR="00FD53E4">
              <w:rPr>
                <w:noProof/>
                <w:color w:val="auto"/>
              </w:rPr>
              <w:t>(76-22-2)</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Camphre</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bornan-2-one (76-22-2)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bornan-2-one (76-22-2)</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Risque présumé d’effets graves pour les organes.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bornan-2-one (76-22-2)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de poids corporel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bornan-2-one (76-22-2)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Liquide vaisselle - olive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bornan-2-one (76-22-2)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4-tert-butylcyclohexyl acetate ; d-limonene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 solide inflammable.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ISOBORNEOL.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Liquide vaisselle - olive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Liquide vaisselle - olive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DE3F5FF-9EA8-42B4-B8EB-67B6A55CC791}"/>
</file>

<file path=customXml/itemProps3.xml><?xml version="1.0" encoding="utf-8"?>
<ds:datastoreItem xmlns:ds="http://schemas.openxmlformats.org/officeDocument/2006/customXml" ds:itemID="{72D558FF-B649-437D-9E71-93AA1C3D1982}"/>
</file>

<file path=customXml/itemProps4.xml><?xml version="1.0" encoding="utf-8"?>
<ds:datastoreItem xmlns:ds="http://schemas.openxmlformats.org/officeDocument/2006/customXml" ds:itemID="{4517E6A6-33F8-4807-B923-8F8B89AFC71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