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citron et menthe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Provoque une sévère irritation des yeux.</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LIMONENE, linalyl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Potassium (hydroxyde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Glycérine (aérosols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aromatique.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27200 mg/kg de poids corporel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vaisselle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d-limonene ; linalyl acetate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LIMONENE, linalyl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Liquide vaisselle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Liquide vaisselle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19FF390-DCBD-4E99-AF59-AE49B3513C06}"/>
</file>

<file path=customXml/itemProps3.xml><?xml version="1.0" encoding="utf-8"?>
<ds:datastoreItem xmlns:ds="http://schemas.openxmlformats.org/officeDocument/2006/customXml" ds:itemID="{6310619A-A26E-416E-86B1-9031EC016098}"/>
</file>

<file path=customXml/itemProps4.xml><?xml version="1.0" encoding="utf-8"?>
<ds:datastoreItem xmlns:ds="http://schemas.openxmlformats.org/officeDocument/2006/customXml" ds:itemID="{456B43D3-79ED-49F6-ACCC-C43C207A928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