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Brume parfumée - verdant calm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Brume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(ATE=1580 mg/kg de poids corporel)</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Aucun(es) dans des conditions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aromatique.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Brume parfumée - verdant calm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07/09/2026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07/09/2026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Brume parfumée - verdant calm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Brume parfumée - verdant calm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07/09/2026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CB642F0-F3A5-49C3-914B-8128DF98C82F}"/>
</file>

<file path=customXml/itemProps3.xml><?xml version="1.0" encoding="utf-8"?>
<ds:datastoreItem xmlns:ds="http://schemas.openxmlformats.org/officeDocument/2006/customXml" ds:itemID="{327E4F76-E23A-45D7-BA47-DB05E56EAA2D}"/>
</file>

<file path=customXml/itemProps4.xml><?xml version="1.0" encoding="utf-8"?>
<ds:datastoreItem xmlns:ds="http://schemas.openxmlformats.org/officeDocument/2006/customXml" ds:itemID="{3FCD9E3B-6BE2-4194-BB31-8F3EC7A792AF}"/>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