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Brume parfumée pureté de coton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numéro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Brume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(ATE=1580 mg/kg de poids corporel)</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Aucun(es) dans des conditions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Musc. Poudrée.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Brume parfumée pureté de coton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Brume parfumée pureté de coton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Brume parfumée pureté de coton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30/06/2026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5E125DF-D4F4-495F-AD82-E34650EB6DF7}"/>
</file>

<file path=customXml/itemProps3.xml><?xml version="1.0" encoding="utf-8"?>
<ds:datastoreItem xmlns:ds="http://schemas.openxmlformats.org/officeDocument/2006/customXml" ds:itemID="{2A35D829-28AF-414D-8419-3232FAA49D20}"/>
</file>

<file path=customXml/itemProps4.xml><?xml version="1.0" encoding="utf-8"?>
<ds:datastoreItem xmlns:ds="http://schemas.openxmlformats.org/officeDocument/2006/customXml" ds:itemID="{D50887DB-8907-491D-B3AE-CB4C76E115DB}"/>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