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Brume parfumée monoï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Brume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(ATE=1580 mg/kg de poids corporel)</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Aucun(es) dans des conditions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Suave.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Brume parfumée monoï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Brume parfumée monoï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Brume parfumée monoï 3%</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conformément au règlement (CE) n° 1907/2006 (REACH) modifié par le règlement (UE) 2020/878</w:t>
          </w:r>
        </w:p>
        <w:p w:rsidR="009C6C12" w:rsidRPr="008F5B08" w:rsidP="008F5B08" w14:paraId="31267F45" w14:textId="67A5CBF0">
          <w:pPr>
            <w:pStyle w:val="SDSTableTextHeader"/>
          </w:pPr>
          <w:r>
            <w:rPr>
              <w:noProof/>
            </w:rPr>
            <w:t>Date d’émission: 30/06/2026   Version: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36FD08D-B9D1-4AC1-8ADD-1730C152D066}"/>
</file>

<file path=customXml/itemProps3.xml><?xml version="1.0" encoding="utf-8"?>
<ds:datastoreItem xmlns:ds="http://schemas.openxmlformats.org/officeDocument/2006/customXml" ds:itemID="{2C41FCED-5A74-4B99-876D-A27C95908F9B}"/>
</file>

<file path=customXml/itemProps4.xml><?xml version="1.0" encoding="utf-8"?>
<ds:datastoreItem xmlns:ds="http://schemas.openxmlformats.org/officeDocument/2006/customXml" ds:itemID="{786EB6AA-9D0F-47EF-9D19-642A4D2A4C6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