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Brume parfumée fleur d'oranger apaisante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Brume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Florale.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Brume parfumée fleur d'oranger apaisante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Brume parfumée fleur d'oranger apaisante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Brume parfumée fleur d'oranger apaisante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30/06/2026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34EE142-64C2-40AD-88DC-1B6F02F0916C}"/>
</file>

<file path=customXml/itemProps3.xml><?xml version="1.0" encoding="utf-8"?>
<ds:datastoreItem xmlns:ds="http://schemas.openxmlformats.org/officeDocument/2006/customXml" ds:itemID="{C9E2C20F-A9E0-4D75-879A-608898A3CF01}"/>
</file>

<file path=customXml/itemProps4.xml><?xml version="1.0" encoding="utf-8"?>
<ds:datastoreItem xmlns:ds="http://schemas.openxmlformats.org/officeDocument/2006/customXml" ds:itemID="{3D8634CA-3C10-4298-BE11-6304654594BC}"/>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