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vin chaud de noel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cinnamaldehyde; geraniol; linalool; Eugenol; methyl cedryl ether;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Alimentaire.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vin chaud de noel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vin chaud de noel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citronellol ; cinnamaldehyde ; geraniol ; linalool ; Eugenol ; alpha-pinene ; d-limonene ; isoeugenol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vin chaud de noel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vin chaud de noel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03/09/2026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5629AB6-D28E-40FB-9CF5-C2D200043F59}"/>
</file>

<file path=customXml/itemProps3.xml><?xml version="1.0" encoding="utf-8"?>
<ds:datastoreItem xmlns:ds="http://schemas.openxmlformats.org/officeDocument/2006/customXml" ds:itemID="{AA1D7227-2180-4BC5-A70A-CDF83EF05032}"/>
</file>

<file path=customXml/itemProps4.xml><?xml version="1.0" encoding="utf-8"?>
<ds:datastoreItem xmlns:ds="http://schemas.openxmlformats.org/officeDocument/2006/customXml" ds:itemID="{E6BBD2B3-F041-4959-A8EA-7A9A14596E9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