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vieux rhum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Toxique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H411 - Toxique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propan-2-ol</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67-63-0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200-661-7</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603-117-00-0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Eye Irrit. 2, H319</w:t>
              <w:br/>
              <w:t>STOT SE 3, H336</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isoamyl alcohol</w:t>
            </w:r>
          </w:p>
          <w:p w:rsidR="00827634" w:rsidRPr="0069446B" w:rsidP="009B0F88" w14:textId="33B2CEBF">
            <w:pPr>
              <w:pStyle w:val="SDSTableTextNormal"/>
              <w:rPr>
                <w:noProof w:val="0"/>
              </w:rPr>
            </w:pPr>
            <w:r w:rsidRPr="0069446B">
              <w:rPr>
                <w:noProof/>
              </w:rPr>
              <w:t>substance possédant une/des valeurs limites d’exposition professionnelle nationales (FR); substance possédant des valeurs limites d’exposition professionnelle communautaires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123-51-3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204-633-5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(par inhalation), H332 (ATE=1,5 mg/l/4h)</w:t>
              <w:br/>
              <w:t>Skin Irrit. 2, H315</w:t>
              <w:br/>
              <w:t>Eye Dam. 1, H318</w:t>
              <w:br/>
              <w:t>STOT SE 3, H335</w:t>
              <w:br/>
              <w:t>Aquatic Chronic 2, H411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Recueillir le produit répandu.</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propan-2-ol</w:t>
            </w:r>
            <w:r w:rsidRPr="0069446B">
              <w:rPr>
                <w:noProof w:val="0"/>
                <w:color w:val="auto"/>
              </w:rPr>
              <w:t xml:space="preserve"> </w:t>
            </w:r>
            <w:r w:rsidRPr="0069446B" w:rsidR="00FD53E4">
              <w:rPr>
                <w:noProof/>
                <w:color w:val="auto"/>
              </w:rPr>
              <w:t>(67-63-0)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Alcool isopropylique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980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400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isoamyl alcohol</w:t>
            </w:r>
            <w:r w:rsidRPr="0069446B">
              <w:rPr>
                <w:noProof w:val="0"/>
                <w:color w:val="auto"/>
              </w:rPr>
              <w:t xml:space="preserve"> </w:t>
            </w:r>
            <w:r w:rsidRPr="0069446B" w:rsidR="00FD53E4">
              <w:rPr>
                <w:noProof/>
                <w:color w:val="auto"/>
              </w:rPr>
              <w:t>(123-51-3)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UE - Valeur limite indicative d’exposition professionnelle (IOEL)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Isoamyl alcohol</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18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37 mg/m³</w:t>
            </w:r>
          </w:p>
        </w:tc>
      </w:tr>
      <w:tr w14:paraId="70951C4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2019/1831</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Alcool isoamylique</w:t>
            </w:r>
          </w:p>
        </w:tc>
      </w:tr>
      <w:tr w14:paraId="70951C45"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18 mg/m³</w:t>
            </w:r>
          </w:p>
        </w:tc>
      </w:tr>
      <w:tr w14:paraId="70951C46"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37 mg/m³</w:t>
            </w:r>
          </w:p>
        </w:tc>
      </w:tr>
      <w:tr w14:paraId="70951C4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réglementaires contraignantes</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Article R4412-149 du Code du travail (réf.: INRS ED 6443, 2022; Outil65; Décret n° 2021-1849)</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caractéristique. Fraiche. Boisé.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isoamyl alcohol (123-51-3)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de poids corporel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isoamyl alcohol (123-51-3)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405 mg/kg de poids corporel Animal: rat, Animal sex: male, Guideline: OECD Guideline 443 (Extended One-Generation Reproductive Toxicity Study)</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1521 mg/kg de poids corporel Animal: rat, Animal sex: female, Guideline: OECD Guideline 443 (Extended One-Generation Reproductive Toxicity Study)</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propan-2-ol (67-63-0)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provoquer somnolence ou vertiges.</w:t>
            </w:r>
            <w:r w:rsidRPr="0069446B">
              <w:rPr>
                <w:noProof w:val="0"/>
                <w:lang w:val="fr-BE"/>
              </w:rPr>
              <w:t xml:space="preserve"> </w:t>
            </w:r>
          </w:p>
        </w:tc>
      </w:tr>
    </w:tbl>
    <w:p w:rsidR="00827634" w:rsidRPr="0069446B" w:rsidP="002B741C" w14:textId="6BB7031E">
      <w:pPr>
        <w:pStyle w:val="SDSTextBlankLine"/>
      </w:pPr>
    </w:p>
    <w:tbl>
      <w:tblPr>
        <w:tblStyle w:val="SDSTableWithBordersWithHeaderRow"/>
        <w:tblW w:w="10489" w:type="dxa"/>
        <w:tblLayout w:type="fixed"/>
        <w:tblLook w:val="04A0"/>
      </w:tblPr>
      <w:tblGrid>
        <w:gridCol w:w="3969"/>
        <w:gridCol w:w="6520"/>
      </w:tblGrid>
      <w:tr w14:paraId="22761E3C"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D4097E9">
            <w:pPr>
              <w:pStyle w:val="SDSTableTextHeading1"/>
              <w:rPr>
                <w:noProof w:val="0"/>
                <w:color w:val="auto"/>
              </w:rPr>
            </w:pPr>
            <w:r w:rsidRPr="0069446B" w:rsidR="00FA7F7F">
              <w:rPr>
                <w:noProof/>
                <w:color w:val="auto"/>
              </w:rPr>
              <w:t>isoamyl alcohol (123-51-3)</w:t>
            </w:r>
          </w:p>
        </w:tc>
      </w:tr>
      <w:tr w14:paraId="19C91D8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vieux rhum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isoamyl alcohol (123-51-3)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5,32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Toxique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Toxique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propan-2-ol (67-63-0)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10000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9640 mg/l Test organisms (species): Pimephales promelas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isoamyl alcohol (123-51-3)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120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173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353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113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vieux rhum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propan-2-ol (67-63-0)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isoamyl alcohol (123-51-3)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MATIÈRE DANGEREUSE DU POINT DE VUE DE L'ENVIRONNEMENT, SOLIDE, N.S.A. (1-(1,2,3,4,5,6,7,8-octahydro-2,3,8,8-tetramethyl-2-naphthalenyl)ethanone)</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MATIÈRE DANGEREUSE DU POINT DE VUE DE L'ENVIRONNEMENT, SOLIDE, N.S.A. (1-(1,2,3,4,5,6,7,8-octahydro-2,3,8,8-tetramethyl-2-naphthalenyl)ethanone),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MATIÈRE DANGEREUSE DU POINT DE VUE DE L'ENVIRONNEMENT, SOLIDE, N.S.A. (1-(1,2,3,4,5,6,7,8-octahydro-2,3,8,8-tetramethyl-2-naphthalenyl)ethanone), 9, III, POLLUANT MARIN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MATIÈRE DANGEREUSE DU POINT DE VUE DE L'ENVIRONNEMENT, SOLIDE, N.S.A. (1-(1,2,3,4,5,6,7,8-octahydro-2,3,8,8-tetramethyl-2-naphthalenyl)ethanone),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MATIÈRE DANGEREUSE DU POINT DE VUE DE L'ENVIRONNEMENT, SOLIDE, N.S.A. (1-(1,2,3,4,5,6,7,8-octahydro-2,3,8,8-tetramethyl-2-naphthalenyl)ethanone),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que de substance dangereuse pour l’environnement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que de substance dangereuse pour l’environnement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que de substance dangereuse pour l’environnement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que de substance dangereuse pour l’environnement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que de substance dangereuse pour l’environnement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Oui</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Dispositions spéciales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Dispositions spéciales de transport -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Dispositions spéciales de transport - Chargement, déchargement et manutention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Dispositions spéciales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Dispositions spéciales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Arrimage et manutention (Code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Exigences supplémentaires/Observations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Uniquement à l'état fondu. ** Pour le transport en vrac, voir aussi le 7.1.4.1. *** Uniquement en cas de transport en vrac.</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Dispositions spéciales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Dispositions spéciales de transport -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Dispositions spéciales de transport - Chargement, déchargement et manutention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benzyl alcohol ; pin-2(3)-ene ; benzaldehyde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benzaldehyde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Directives nationales</w:t>
      </w:r>
    </w:p>
    <w:tbl>
      <w:tblPr>
        <w:tblStyle w:val="SDSTableWithoutBorders"/>
        <w:tblW w:w="10491" w:type="dxa"/>
        <w:tblLayout w:type="fixed"/>
        <w:tblLook w:val="04A0"/>
      </w:tblPr>
      <w:tblGrid>
        <w:gridCol w:w="10491"/>
      </w:tblGrid>
      <w:tr w14:paraId="5124EAC9"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5F4E1267" w14:textId="396498DA">
            <w:pPr>
              <w:pStyle w:val="SDSTextHeading4"/>
              <w:rPr>
                <w:color w:val="auto"/>
              </w:rPr>
            </w:pPr>
            <w:r w:rsidRPr="0069446B">
              <w:rPr>
                <w:color w:val="auto"/>
              </w:rPr>
              <w:t>Finlande</w:t>
            </w:r>
          </w:p>
        </w:tc>
      </w:tr>
      <w:tr w14:paraId="4EB0E7BB"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1DA7F00D" w14:textId="0E094761">
            <w:pPr>
              <w:pStyle w:val="SDSTextHeading4"/>
              <w:rPr>
                <w:color w:val="auto"/>
              </w:rPr>
            </w:pPr>
            <w:r w:rsidRPr="0069446B" w:rsidR="00FA7F7F">
              <w:rPr>
                <w:noProof/>
                <w:color w:val="auto"/>
              </w:rPr>
              <w:t>France</w:t>
            </w:r>
          </w:p>
        </w:tc>
      </w:tr>
      <w:tr w14:paraId="584C76DD" w14:textId="77777777" w:rsidTr="00CE2D83">
        <w:tblPrEx>
          <w:tblW w:w="10491" w:type="dxa"/>
          <w:tblLayout w:type="fixed"/>
          <w:tblLook w:val="04A0"/>
        </w:tblPrEx>
        <w:trPr>
          <w:cantSplit w:val="0"/>
          <w:trHeight w:val="20"/>
        </w:trPr>
        <w:tc>
          <w:tcPr>
            <w:tcW w:w="10491" w:type="dxa"/>
            <w:tcBorders>
              <w:top w:val="none" w:sz="0" w:space="0" w:color="000000"/>
              <w:left w:val="none" w:sz="0" w:space="0" w:color="000000"/>
              <w:bottom w:val="none" w:sz="0" w:space="0" w:color="000000"/>
              <w:right w:val="none" w:sz="0" w:space="0" w:color="000000"/>
            </w:tcBorders>
          </w:tcPr>
          <w:tbl>
            <w:tblPr>
              <w:tblStyle w:val="SDSTableWithBordersWithHeaderRow"/>
              <w:tblW w:w="10477" w:type="dxa"/>
              <w:tblLayout w:type="fixed"/>
              <w:tblLook w:val="04A0"/>
            </w:tblPr>
            <w:tblGrid>
              <w:gridCol w:w="1981"/>
              <w:gridCol w:w="8496"/>
            </w:tblGrid>
            <w:tr w14:paraId="1ECC5E7E" w14:textId="77777777" w:rsidTr="00CE2D83">
              <w:tblPrEx>
                <w:tblW w:w="10477" w:type="dxa"/>
                <w:tblLayout w:type="fixed"/>
                <w:tblLook w:val="04A0"/>
              </w:tblPrEx>
              <w:trPr>
                <w:trHeight w:val="20"/>
                <w:tblHeader/>
              </w:trPr>
              <w:tc>
                <w:tcPr>
                  <w:tcW w:w="10477"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15A19" w14:paraId="3893F28A" w14:textId="29FBBBED">
                  <w:pPr>
                    <w:pStyle w:val="SDSTableTextBold"/>
                    <w:keepNext w:val="0"/>
                  </w:pPr>
                  <w:r w:rsidRPr="0069446B" w:rsidR="00290951">
                    <w:t>Maladies professionnelles</w:t>
                  </w:r>
                </w:p>
              </w:tc>
            </w:tr>
            <w:tr w14:paraId="6BEF88BE" w14:textId="77777777" w:rsidTr="00CE2D83">
              <w:tblPrEx>
                <w:tblW w:w="10477" w:type="dxa"/>
                <w:tblLayout w:type="fixed"/>
                <w:tblLook w:val="04A0"/>
              </w:tblPrEx>
              <w:trPr>
                <w:trHeight w:val="20"/>
                <w:tblHeader/>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151D0C1" w14:textId="13782F1F">
                  <w:pPr>
                    <w:pStyle w:val="SDSTableTextNormal"/>
                  </w:pPr>
                  <w:r w:rsidRPr="0069446B" w:rsidR="00290951">
                    <w:t>Code</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AC252CE" w14:textId="5E703CA3">
                  <w:pPr>
                    <w:pStyle w:val="SDSTableTextNormal"/>
                  </w:pPr>
                  <w:r w:rsidRPr="0069446B">
                    <w:rPr>
                      <w:noProof/>
                    </w:rPr>
                    <w:t>Description</w:t>
                  </w:r>
                </w:p>
              </w:tc>
            </w:tr>
            <w:tr w14:paraId="6BB13145" w14:textId="77777777" w:rsidTr="00CE2D83">
              <w:tblPrEx>
                <w:tblW w:w="10477" w:type="dxa"/>
                <w:tblLayout w:type="fixed"/>
                <w:tblLook w:val="04A0"/>
              </w:tblPrEx>
              <w:trPr>
                <w:trHeight w:val="676"/>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F5DCE0B" w14:textId="534EAEAF">
                  <w:pPr>
                    <w:pStyle w:val="SDSTableTextNormal"/>
                    <w:rPr>
                      <w:noProof w:val="0"/>
                    </w:rPr>
                  </w:pPr>
                  <w:r w:rsidRPr="0069446B" w:rsidR="00FA7F7F">
                    <w:rPr>
                      <w:noProof/>
                    </w:rPr>
                    <w:t>RG 84</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CB660ED" w14:textId="088BFBA8">
                  <w:pPr>
                    <w:pStyle w:val="SDSTableTextNormal"/>
                    <w:rPr>
                      <w:noProof w:val="0"/>
                    </w:rPr>
                  </w:pPr>
                  <w:r w:rsidRPr="0069446B">
                    <w:rPr>
                      <w:noProof/>
                    </w:rPr>
                    <w:t>Affections engendrées par les solvants organiques liquides à usage professionnel : hydrocarbures liquides aliphatiques ou cycliques saturés ou insaturés et leurs mélanges ; hydrocarbures halogénés liquides ; dérivés nitrés des hydrocarbures aliphatiques ; alcools ; glycols, éthers de glycol ; cétones ; aldéhydes ; éthers aliphatiques et cycliques, dont le tétrahydrofurane ; esters ; diméthylformamide et dimétylacétamine ; acétonitrile et propionitrile ; pyridine ; diméthylsulfone et diméthylsulfoxyde</w:t>
                  </w:r>
                </w:p>
              </w:tc>
            </w:tr>
          </w:tbl>
          <w:p w:rsidR="00F430DC" w:rsidRPr="0069446B" w:rsidP="005C557D" w14:paraId="07BC27B8" w14:textId="77777777">
            <w:pPr>
              <w:pStyle w:val="SDSTableTextNormal"/>
            </w:pP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Effets narcotiques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très inflammables.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somnolence ou vertiges.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17/07/2026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17/07/2026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vieux rhum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vieux rhum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17/07/2026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A7AAE4B-01F1-4ABD-9715-DC9EF1F2F49E}"/>
</file>

<file path=customXml/itemProps3.xml><?xml version="1.0" encoding="utf-8"?>
<ds:datastoreItem xmlns:ds="http://schemas.openxmlformats.org/officeDocument/2006/customXml" ds:itemID="{CA0DA57C-51F3-430B-A13B-A301F728A3B2}"/>
</file>

<file path=customXml/itemProps4.xml><?xml version="1.0" encoding="utf-8"?>
<ds:datastoreItem xmlns:ds="http://schemas.openxmlformats.org/officeDocument/2006/customXml" ds:itemID="{8AD8F01B-516D-4416-AEE0-A5E3A58E2B74}"/>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