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vieux rhum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caractéristique. Fraiche. Boisé.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vieux rhum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vieux rhum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 (1-(1,2,3,4,5,6,7,8-octahydro-2,3,8,8-tetramethyl-2-naphthalenyl)ethanone)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(1-(1,2,3,4,5,6,7,8-octahydro-2,3,8,8-tetramethyl-2-naphthalenyl)ethanone),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(1-(1,2,3,4,5,6,7,8-octahydro-2,3,8,8-tetramethyl-2-naphthalenyl)ethanone),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(1-(1,2,3,4,5,6,7,8-octahydro-2,3,8,8-tetramethyl-2-naphthalenyl)ethanone),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(1-(1,2,3,4,5,6,7,8-octahydro-2,3,8,8-tetramethyl-2-naphthalenyl)ethanone),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vieux rhum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vieux rhum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17/07/2026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55B77FE-7815-4012-8E1C-BA6553152891}"/>
</file>

<file path=customXml/itemProps3.xml><?xml version="1.0" encoding="utf-8"?>
<ds:datastoreItem xmlns:ds="http://schemas.openxmlformats.org/officeDocument/2006/customXml" ds:itemID="{258866CB-7385-4923-B033-70CCE94708F2}"/>
</file>

<file path=customXml/itemProps4.xml><?xml version="1.0" encoding="utf-8"?>
<ds:datastoreItem xmlns:ds="http://schemas.openxmlformats.org/officeDocument/2006/customXml" ds:itemID="{ADFC5606-1317-4A07-B220-F530EA151CA7}"/>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