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vieux rhum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propan-2-ol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200-661-7</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603-117-00-0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(par inhalation), H332 (ATE=1,5 mg/l/4h)</w:t>
              <w:br/>
              <w:t>Skin Irrit. 2, H315</w:t>
              <w:br/>
              <w:t>Eye Dam. 1, H318</w:t>
              <w:br/>
              <w:t>STOT SE 3, H335</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propan-2-ol</w:t>
            </w:r>
            <w:r w:rsidRPr="0069446B">
              <w:rPr>
                <w:noProof w:val="0"/>
                <w:color w:val="auto"/>
              </w:rPr>
              <w:t xml:space="preserve"> </w:t>
            </w:r>
            <w:r w:rsidRPr="0069446B" w:rsidR="00FD53E4">
              <w:rPr>
                <w:noProof/>
                <w:color w:val="auto"/>
              </w:rPr>
              <w:t>(67-63-0)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isopropylique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980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Valeur limite indicative d’exposition professionnelle (IOEL)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Isoamyl alcohol</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isoamylique</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contraignantes</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Article R4412-149 du Code du travail (réf.: INRS ED 6443, 2022; Outil65; Décret n° 2021-1849)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caractéristique. Fraiche. Boisé.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isoamyl alcohol (123-51-3)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de poids corporel Animal: rat, Animal sex: male, Guideline: OECD Guideline 443 (Extended One-Generation Reproductive Toxicity Study)</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1521 mg/kg de poids corporel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propan-2-ol (67-63-0)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provoquer somnolence ou vertiges.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isoamyl alcohol (123-51-3)</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vieux rhum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isoamyl alcohol (123-51-3)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propan-2-ol (67-63-0)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10000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9640 mg/l Test organisms (species): Pimephales promelas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isoamyl alcohol (123-51-3)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120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173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vieux rhum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propan-2-ol (67-63-0)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Effets narcotiques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somnolence ou vertiges.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vieux rhum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vieux rhum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17/07/2026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762B632-3C40-486E-9EFA-08E1CB128B11}"/>
</file>

<file path=customXml/itemProps3.xml><?xml version="1.0" encoding="utf-8"?>
<ds:datastoreItem xmlns:ds="http://schemas.openxmlformats.org/officeDocument/2006/customXml" ds:itemID="{9CEFD5DB-EE25-40E7-BBD9-B426B64FDBF6}"/>
</file>

<file path=customXml/itemProps4.xml><?xml version="1.0" encoding="utf-8"?>
<ds:datastoreItem xmlns:ds="http://schemas.openxmlformats.org/officeDocument/2006/customXml" ds:itemID="{A1986244-77C7-46DE-8561-FCB003DF3CA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