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verveine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Matières solides inflammables Non classé</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citronellol; d-limonene; citral; nerol; geraniol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Composant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non incluse(s) dans la liste établie conformément à l’article 59, al. 1, du règlement REACH pour avoir des propriétés perturbant le système endocrinien, ou non identifiée(s) comme ayant des propriétés perturbant le système endocrinien conformément aux critères énoncés dans le règlement délégué (UE) 2017/2100 de la Commission ou le règlement (UE) 2018/605 de la Commission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3,5315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0,4942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0,378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0,3059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Hespéridée. Verveine. Citrique. caractéristique.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poids corporel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de poids corporel Animal: rat, Animal sex: male, Guideline: OECD Guideline 401 (Acute Oral Toxicity), 95% CL: 3400 - 5600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de poids corporel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poids corporel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poussière/brouillard/fumée,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(inhalation, rat, gaz,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(inhalation, rat, gaz,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poids corporel Animal: rat, Guideline: other:,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verveine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verveine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citronellol ; pin-2(3)-ene ; d-limonene ; nerol ; geraniol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aigu,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Non classé</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Matières solides inflammables Non classé</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Non classé</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Jugement d’experts</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verveine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verveine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05/08/2026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4C003CA-80C3-4ECF-8FE5-3C50AC78ABB0}"/>
</file>

<file path=customXml/itemProps3.xml><?xml version="1.0" encoding="utf-8"?>
<ds:datastoreItem xmlns:ds="http://schemas.openxmlformats.org/officeDocument/2006/customXml" ds:itemID="{B62B9974-1863-4B70-823F-6AD1FB1810E6}"/>
</file>

<file path=customXml/itemProps4.xml><?xml version="1.0" encoding="utf-8"?>
<ds:datastoreItem xmlns:ds="http://schemas.openxmlformats.org/officeDocument/2006/customXml" ds:itemID="{EC0D0536-D460-4500-B15B-C53F6C094E45}"/>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