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Matières solides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Verveine. Citrique. caractéristique.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verveine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CB6737F-9745-432E-8251-673794CA30CA}"/>
</file>

<file path=customXml/itemProps3.xml><?xml version="1.0" encoding="utf-8"?>
<ds:datastoreItem xmlns:ds="http://schemas.openxmlformats.org/officeDocument/2006/customXml" ds:itemID="{6A11A75B-40DD-4417-B73A-8D4DF2134A90}"/>
</file>

<file path=customXml/itemProps4.xml><?xml version="1.0" encoding="utf-8"?>
<ds:datastoreItem xmlns:ds="http://schemas.openxmlformats.org/officeDocument/2006/customXml" ds:itemID="{CEB30C19-03D8-4757-BAFF-4890DB6401F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