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verveine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sidRPr="0069446B">
        <w:rPr>
          <w:noProof/>
        </w:rPr>
        <w:t>Peut provoquer une allergie cutanée.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citronellol; d-limonene; citral; nerol; geraniol; linalool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Peut provoquer une allergie cutanée.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Verveine. Citrique. caractéristique.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nerol (106-25-2)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4500 mg/kg de poids corporel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verveine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verveine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d-limonene ; nerol ; geraniol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verveine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verveine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05/08/2026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466CD8A-F134-4F97-BD8F-CD225A59E84A}"/>
</file>

<file path=customXml/itemProps3.xml><?xml version="1.0" encoding="utf-8"?>
<ds:datastoreItem xmlns:ds="http://schemas.openxmlformats.org/officeDocument/2006/customXml" ds:itemID="{D7D786CF-C82D-4D63-9B24-E7AA3A973867}"/>
</file>

<file path=customXml/itemProps4.xml><?xml version="1.0" encoding="utf-8"?>
<ds:datastoreItem xmlns:ds="http://schemas.openxmlformats.org/officeDocument/2006/customXml" ds:itemID="{255E1897-D083-4B7A-8D52-8D6C13F86C2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