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tubéreuse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citronellol; 3-methyl-4-(2,6,6-trimethyl-2-cyclohexen-1-yl)-3-buten-2-one; isoeugenol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3-methyl-4-(2,6,6-trimethyl-2-cyclohexen-1-yl)-3-buten-2-one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Ethanone, 1-(3-methyl-2-benzofuranyl)-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23911-56-0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429-100-6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Aquatic Acute 1, H400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Fleur blanche.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3-methyl-4-(2,6,6-trimethyl-2-cyclohexen-1-yl)-3-buten-2-one (127-51-5)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Ethanone, 1-(3-methyl-2-benzofuranyl)- (23911-56-0)</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 – 2000 mg/kg de poids corporel Animal: rat, Guideline: EU Method B.1 (Acute Toxicity (Oral)),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3-methyl-4-(2,6,6-trimethyl-2-cyclohexen-1-yl)-3-buten-2-one (127-51-5)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3-methyl-4-(2,6,6-trimethyl-2-cyclohexen-1-yl)-3-buten-2-one (127-51-5)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5,44 Temp.: 30 °C Concentration: 1 other</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3-methyl-4-(2,6,6-trimethyl-2-cyclohexen-1-yl)-3-buten-2-one (127-51-5)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de poids corporel Animal: rat, Animal sex: male,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50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tubéreuse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3-methyl-4-(2,6,6-trimethyl-2-cyclohexen-1-yl)-3-buten-2-one (127-51-5)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10,9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20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Ethanone, 1-(3-methyl-2-benzofuranyl)- (23911-56-0)</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15,6 mg/l Test organisms (species): other:</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12,4 – 22,1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tubéreuse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citronellol (106-22-9)</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3-methyl-4-(2,6,6-trimethyl-2-cyclohexen-1-yl)-3-buten-2-one (127-51-5)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Ethanone, 1-(3-methyl-2-benzofuranyl)- (23911-56-0)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3-methyl-4-(2,6,6-trimethyl-2-cyclohexen-1-yl)-3-buten-2-one ; isoeugenol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3-methyl-4-(2,6,6-trimethyl-2-cyclohexen-1-yl)-3-buten-2-one ; Ethanone, 1-(3-methyl-2-benzofuranyl)-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tubéreuse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tubéreuse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07/04/2026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28B6349-E5D9-40D0-9FDE-424BB5C7D025}"/>
</file>

<file path=customXml/itemProps3.xml><?xml version="1.0" encoding="utf-8"?>
<ds:datastoreItem xmlns:ds="http://schemas.openxmlformats.org/officeDocument/2006/customXml" ds:itemID="{AB149333-EB7B-4ECD-8868-F3566CE5102C}"/>
</file>

<file path=customXml/itemProps4.xml><?xml version="1.0" encoding="utf-8"?>
<ds:datastoreItem xmlns:ds="http://schemas.openxmlformats.org/officeDocument/2006/customXml" ds:itemID="{19CD71D8-6E17-47BB-8758-BA9F8206D1FE}"/>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