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tomate et basilic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CINNAMAL, isoeugénol, 2,4-diméthylcyclohex-3-ène-1-carbaldéhyde, linalool.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0,1393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Verte. Florale. Hespéridée.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tomate et basilic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tomate et basilic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isoeugenol ; 2,4-dimethylcyclohex-3-ene-1-carbaldehyde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CINNAMAL, isoeugénol, 2,4-diméthylcyclohex-3-ène-1-carbaldéhyde, linalool.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tomate et basilic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tomate et basilic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11/06/2026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8B0F45D-E307-4DF6-97BE-DA25353FE48D}"/>
</file>

<file path=customXml/itemProps3.xml><?xml version="1.0" encoding="utf-8"?>
<ds:datastoreItem xmlns:ds="http://schemas.openxmlformats.org/officeDocument/2006/customXml" ds:itemID="{8043EFE7-4BEC-4D62-A1B1-400F33FC939B}"/>
</file>

<file path=customXml/itemProps4.xml><?xml version="1.0" encoding="utf-8"?>
<ds:datastoreItem xmlns:ds="http://schemas.openxmlformats.org/officeDocument/2006/customXml" ds:itemID="{BB4AF18D-29A7-4F1E-8F1A-0C7FDD46E877}"/>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