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tiramisu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Composition parfumante (parfum).</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benzyl alcohol, METHYLCINNAMIC ALDEHYDE, CINNAMAL.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4,1734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0,8407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 substance possédant des valeurs limites d’exposition professionnelle communautaires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Aucun(es) dans des conditions normales.</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Aucun(es) dans des conditions normales.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Absorber tout produit répandu avec du sable ou de la terre.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Valeur limite indicative d’exposition professionnelle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France - Valeurs Limites d’exposition professionnelle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Ether diphénylique (Oxyde de biphényle)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8h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réglementaires indicatives</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Arrêté du 30 juin 2004 modifié (réf.: INRS ED 6443, 2022; Outil65; Arrête du 27 septembre 2019)</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Gourmande. Epicée.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de poids corporel Animal: rat, Animal sex: female,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de poids corporel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(animal/femelle,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de poids corporel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de poids corporel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tiramisu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cutanée),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benzyl alcohol, METHYLCINNAMIC ALDEHYDE, CINNAMAL.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tiramisu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tiramisu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31/07/2026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7940101-6427-42EE-8C1E-607782E2D25B}"/>
</file>

<file path=customXml/itemProps3.xml><?xml version="1.0" encoding="utf-8"?>
<ds:datastoreItem xmlns:ds="http://schemas.openxmlformats.org/officeDocument/2006/customXml" ds:itemID="{88C1CB92-C4DB-459A-9BA8-733A3CF3E559}"/>
</file>

<file path=customXml/itemProps4.xml><?xml version="1.0" encoding="utf-8"?>
<ds:datastoreItem xmlns:ds="http://schemas.openxmlformats.org/officeDocument/2006/customXml" ds:itemID="{8E7B440F-5336-4AF9-806B-BEF037D49A1D}"/>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