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tilleul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Tenir hors de portée des enfants.</w:t>
              <w:br/>
              <w:t>P101 - En cas de consultation d’un médecin, garder à disposition le récipient ou l’étiquette.</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3,7-dimethylnona-1,6-dien-3-ol, linalyl acetate.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Verte. Miellée.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tilleul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tilleul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Lésions oculaires graves/irritation oculaire, catégorie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3,7-dimethylnona-1,6-dien-3-ol, linalyl acetate.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tilleul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tilleul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02/07/2026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00C2424-DE93-4ACC-8F7A-21F4B0B0CD92}"/>
</file>

<file path=customXml/itemProps3.xml><?xml version="1.0" encoding="utf-8"?>
<ds:datastoreItem xmlns:ds="http://schemas.openxmlformats.org/officeDocument/2006/customXml" ds:itemID="{6AF9EA10-D05C-4288-B0AA-64D03EB90E6F}"/>
</file>

<file path=customXml/itemProps4.xml><?xml version="1.0" encoding="utf-8"?>
<ds:datastoreItem xmlns:ds="http://schemas.openxmlformats.org/officeDocument/2006/customXml" ds:itemID="{F640B3C4-D232-41D6-820D-3D3926E39C57}"/>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