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thé noir et vanille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1-(1,2,3,4,5,6,7,8-octahydro-2,3,8,8-tetramethyl-2-naphthyl)ethan-1-one; Eugenol; linalool; d-limonene; coumarin; benzyl alcohol; p-methoxybenzyl acetate; anisyl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P333+P313 - En cas d’irritation ou d’éruption cutanée: consulter un médecin.</w:t>
              <w:br/>
              <w:t>P302+P352 - EN CAS DE CONTACT AVEC LA PEAU: laver abondamment à l’eau et au savon.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105-13-5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203-273-6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0,03325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balsamique. Epicée. Tabac.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anisyl alcohol (105-13-5)</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3000 mg/kg de poids corporel Animal: rabbit, Guideline: OECD Guideline 402 (Acute Dermal Toxicity), 95% CL: 1940 - 4060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anisyl alcohol (105-13-5)</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thé noir et vanille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anisyl alcohol (105-13-5)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64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141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thé noir et vanille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anisyl alcohol (105-13-5)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(1-(1,2,3,4,5,6,7,8-octahydro-2,3,8,8-tetramethyl-2-naphthalenyl)ethanone)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(1-(1,2,3,4,5,6,7,8-octahydro-2,3,8,8-tetramethyl-2-naphthalenyl)ethanone),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(1-(1,2,3,4,5,6,7,8-octahydro-2,3,8,8-tetramethyl-2-naphthalenyl)ethanone),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Non</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3"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Eugenol ; linalool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1,3,4,6,7,8-hexahydro-4,6,6,7,8,8-hexamethylindeno[5,6-c]pyran ; 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thé noir et vanille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thé noir et vanille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20/08/2026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88E3053-89C2-4586-89CE-8BE473E9F9C8}"/>
</file>

<file path=customXml/itemProps3.xml><?xml version="1.0" encoding="utf-8"?>
<ds:datastoreItem xmlns:ds="http://schemas.openxmlformats.org/officeDocument/2006/customXml" ds:itemID="{F5E2AF1F-F302-408E-9E03-1B2C5D381E58}"/>
</file>

<file path=customXml/itemProps4.xml><?xml version="1.0" encoding="utf-8"?>
<ds:datastoreItem xmlns:ds="http://schemas.openxmlformats.org/officeDocument/2006/customXml" ds:itemID="{8F3B0A2B-F382-4FE6-A4B3-11D90693DC2D}"/>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