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thé noir et vanille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Dangereux pour le milieu aquatique – Danger chronique, catégorie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Peut provoquer une allergie cutanée. Toxique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cinnamaldehyde; 1-(1,2,3,4,5,6,7,8-octahydro-2,3,8,8-tetramethyl-2-naphthyl)ethan-1-one; Eugenol; linalool; d-limonene; coumarin; benzyl alcohol; p-methoxybenzyl acetate; anisyl alcohol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Peut provoquer une allergie cutanée.</w:t>
              <w:br/>
              <w:t>H411 - Toxique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P273 - Éviter le rejet dans l’environnement.</w:t>
              <w:br/>
              <w:t>P302+P352 - EN CAS DE CONTACT AVEC LA PEAU: laver abondamment à l’eau et au savon.</w:t>
              <w:br/>
              <w:t>P333+P313 - En cas d’irritation ou d’éruption cutanée: consulter un médecin.</w:t>
              <w:br/>
              <w:t>P501 - Éliminer le contenu/récipient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Composant</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Substance(s) ne répondant pas aux critères PBT du règlement REACH, conformément à l’annexe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Substance(s) ne répondant pas aux critères vPvB du règlement REACH, conformément à l’annexe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2,706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0,371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0,294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0,284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214-946-9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(ATE=1580 mg/kg de poids corporel)</w:t>
              <w:br/>
              <w:t>Eye Irrit. 2, H319</w:t>
              <w:br/>
              <w:t>Skin Sens. 1B,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p-methoxybenzyl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104-21-2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203-185-8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105-13-5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203-273-6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0,0475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cutanée), H312 (ATE=1260 mg/kg de poids corporel)</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Limites de concentration spécifiques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Identificateur de produit</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Limites de concentration spécifiques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Recueillir le produit répandu.</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Oriental. balsamique. Epicée. Tabac. Vanille.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1,3,4,6,7,8-hexahydro-4,6,6,7,8,8-hexamethylindeno[5,6-c]pyran (1222-05-5)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poids corporel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de poids corporel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de poids corporel Animal: guinea pig,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de poids corporel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male, Guideline: OECD Guideline 423 (Acute Oral toxicity - Acute Toxic Class Method)</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de poids corporel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poids corporel Animal: rat, Guideline: OECD Guideline 401 (Acute Oral Toxicity), 95% CL: 2440 - 3180</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de poids corporel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poids corporel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de poids corporel Animal: rat, Guideline: other:</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de poids corporel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de poids corporel Animal: mouse, Guideline: OECD Guideline 401 (Acute Oral Toxicity), 95% CL: 1410 - 1770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poids corporel Animal: rabbit, Guideline: EPA OTS 798.1100 (Acute Dermal Toxicity)</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p-methoxybenzyl acetate (104-21-2)</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anisaldehyde (123-11-5)</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3210 mg/kg de poids corporel Animal: rat, Guideline: OECD Guideline 401 (Acute Oral Toxicity), 95% CL: 2755 - 3600</w:t>
            </w:r>
          </w:p>
        </w:tc>
      </w:tr>
      <w:tr w14:paraId="14A1065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Animal sex: female, Guideline: OECD Guideline 402 (Acute Dermal Toxicity)</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anisyl alcohol (105-13-5)</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3000 mg/kg de poids corporel Animal: rabbit, Guideline: OECD Guideline 402 (Acute Dermal Toxicity), 95% CL: 1940 - 4060</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anisaldehyde (123-11-5)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anisaldehyde (123-11-5)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poids corporel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coumarin (91-64-5)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&gt; 333 mg/kg de poids corporel Animal: rat, Animal sex: female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1,3,4,6,7,8-hexahydro-4,6,6,7,8,8-hexamethylindeno[5,6-c]pyran (1222-05-5)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150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(subchronique, oral, animal/mâle,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de poids corporel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(subchronique, oral, animal/femelle,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de poids corporel Animal: mouse, Animal sex: female,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431561">
            <w:pPr>
              <w:pStyle w:val="SDSTableTextNormal"/>
              <w:rPr>
                <w:noProof w:val="0"/>
              </w:rPr>
            </w:pPr>
            <w:r w:rsidRPr="0069446B" w:rsidR="00FA7F7F">
              <w:rPr>
                <w:noProof/>
              </w:rPr>
              <w:t>NOAEL (subchronique, oral, animal/femelle,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2AACB73">
            <w:pPr>
              <w:pStyle w:val="SDSTableTextNormal"/>
              <w:rPr>
                <w:noProof w:val="0"/>
              </w:rPr>
            </w:pPr>
            <w:r w:rsidRPr="0069446B">
              <w:rPr>
                <w:noProof/>
              </w:rPr>
              <w:t>&gt; 138,3 mg/kg de poids corporel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de poids corporel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p-methoxybenzyl acetate (104-21-2)</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de poids corporel Animal: rat, Guideline: OECD Guideline 422 (Combined Repeated Dose Toxicity Study with the Reproduction / Developmental Toxicity Screening Test)</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0"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1"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anisyl alcohol (105-13-5)</w:t>
            </w:r>
          </w:p>
        </w:tc>
      </w:tr>
      <w:tr w14:paraId="07CBBCDA"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de poids corporel Animal: rat, Guideline: OECD Guideline 422 (Combined Repeated Dose Toxicity Study with the Reproduction / Developmental Toxicity Screening Test)</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thé noir et vanille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Informations sur les autres dangers</w:t>
      </w:r>
      <w:bookmarkEnd w:id="3"/>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Toxique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Toxique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1,3,4,6,7,8-hexahydro-4,6,6,7,8,8-hexamethylindeno[5,6-c]pyran (1222-05-5)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0,95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0,194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0,075 mg/l Test organisms (species): other aquatic crustacea: Duration: '5,5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Crustacés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sidR="00FA7F7F">
              <w:rPr>
                <w:noProof/>
              </w:rPr>
              <w:t>1,324 mg/l Test organisms (species):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p-methoxybenzyl acetate (104-21-2)</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13,1 mg/l Test organisms (species): Danio rerio (previous name: Brachydanio rerio)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31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59,9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38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1,53 mg/l Test organisms (species): Daphnia magna Duration: '21 d'</w:t>
            </w:r>
          </w:p>
        </w:tc>
      </w:tr>
      <w:tr w14:paraId="4F2507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anisyl alcohol (105-13-5)</w:t>
            </w:r>
          </w:p>
        </w:tc>
      </w:tr>
      <w:tr w14:paraId="562CCB6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&gt; 64 mg/l Test organisms (species): Danio rerio (previous name: Brachydanio rerio)</w:t>
            </w:r>
          </w:p>
        </w:tc>
      </w:tr>
      <w:tr w14:paraId="758D63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100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141 mg/l Test organisms (species): Raphidocelis subcapitata (previous names: Pseudokirchneriella subcapitata, Selenastrum capricornutum)</w:t>
            </w:r>
          </w:p>
        </w:tc>
      </w:tr>
      <w:tr w14:paraId="14947BF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64,2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Bougie thé noir et vanille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1,3,4,6,7,8-hexahydro-4,6,6,7,8,8-hexamethylindeno[5,6-c]pyran (1222-05-5)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p-methoxybenzyl acetate (104-21-2)</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anisyl alcohol (105-13-5)</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Composant</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Substance(s) ne répondant pas aux critères PBT du règlement REACH, conformément à l’annexe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Substance(s) ne répondant pas aux critères vPvB du règlement REACH, conformément à l’annexe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4"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MATIÈRE DANGEREUSE DU POINT DE VUE DE L'ENVIRONNEMENT, SOLIDE, N.S.A. (1-(1,2,3,4,5,6,7,8-octahydro-2,3,8,8-tetramethyl-2-naphthalenyl)ethanone)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MATIÈRE DANGEREUSE DU POINT DE VUE DE L'ENVIRONNEMENT, SOLIDE, N.S.A. (1-(1,2,3,4,5,6,7,8-octahydro-2,3,8,8-tetramethyl-2-naphthalenyl)ethanone)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MATIÈRE DANGEREUSE DU POINT DE VUE DE L'ENVIRONNEMENT, SOLIDE, N.S.A. (1-(1,2,3,4,5,6,7,8-octahydro-2,3,8,8-tetramethyl-2-naphthalenyl)ethanone)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MATIÈRE DANGEREUSE DU POINT DE VUE DE L'ENVIRONNEMENT, SOLIDE, N.S.A. (1-(1,2,3,4,5,6,7,8-octahydro-2,3,8,8-tetramethyl-2-naphthalenyl)ethanone)</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Description document de transport</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MATIÈRE DANGEREUSE DU POINT DE VUE DE L'ENVIRONNEMENT, SOLIDE, N.S.A. (1-(1,2,3,4,5,6,7,8-octahydro-2,3,8,8-tetramethyl-2-naphthalenyl)ethanone),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MATIÈRE DANGEREUSE DU POINT DE VUE DE L'ENVIRONNEMENT, SOLIDE, N.S.A. (1-(1,2,3,4,5,6,7,8-octahydro-2,3,8,8-tetramethyl-2-naphthalenyl)ethanone), 9, III, POLLUANT MARIN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MATIÈRE DANGEREUSE DU POINT DE VUE DE L'ENVIRONNEMENT, SOLIDE, N.S.A. (1-(1,2,3,4,5,6,7,8-octahydro-2,3,8,8-tetramethyl-2-naphthalenyl)ethanone),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MATIÈRE DANGEREUSE DU POINT DE VUE DE L'ENVIRONNEMENT, SOLIDE, N.S.A. (1-(1,2,3,4,5,6,7,8-octahydro-2,3,8,8-tetramethyl-2-naphthalenyl)ethanone),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7" name="" descr="Marque de substance dangereuse pour l’environnement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1" name="" descr="Marque de substance dangereuse pour l’environnement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5" name="" descr="Marque de substance dangereuse pour l’environnement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9" name="" descr="Marque de substance dangereuse pour l’environnement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3" name="" descr="Marque de substance dangereuse pour l’environnement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p w:rsidR="00E5555B" w:rsidRPr="0069446B" w:rsidP="00CB352E" w14:paraId="59B4C75B" w14:textId="3A38D38E">
            <w:pPr>
              <w:pStyle w:val="SDSTableTextCentered"/>
              <w:rPr>
                <w:noProof w:val="0"/>
              </w:rPr>
            </w:pPr>
            <w:r w:rsidRPr="0069446B" w:rsidR="00FA7F7F">
              <w:rPr>
                <w:noProof/>
              </w:rPr>
              <w:t>Polluant marin</w:t>
            </w:r>
            <w:r w:rsidRPr="0069446B">
              <w:rPr>
                <w:noProof w:val="0"/>
              </w:rPr>
              <w:t xml:space="preserve">: </w:t>
            </w:r>
            <w:r w:rsidRPr="0069446B" w:rsidR="00FA7F7F">
              <w:rPr>
                <w:noProof/>
              </w:rPr>
              <w:t>Oui</w:t>
            </w:r>
          </w:p>
          <w:p w:rsidR="00C93EB0" w:rsidRPr="0069446B" w:rsidP="00C93EB0" w14:paraId="3E1963A9" w14:textId="2D18F11C">
            <w:pPr>
              <w:pStyle w:val="SDSTableTextCentered"/>
              <w:rPr>
                <w:noProof w:val="0"/>
              </w:rPr>
            </w:pPr>
            <w:r w:rsidRPr="0069446B" w:rsidR="00FA7F7F">
              <w:rPr>
                <w:noProof/>
              </w:rPr>
              <w:t>N° FS (Feu)</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N° FS (Déversement)</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Code de classification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Dispositions spéciales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Quantités limitées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Quantités exceptées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Instructions d’emballage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Dispositions spéciales d’emballage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Pr>
                <w:noProof/>
                <w:lang w:val="nl-BE"/>
              </w:rPr>
              <w:t>Dispositions relatives à l‘emballage en commun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Instructions pour citernes mobiles et conteneurs pour vrac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Dispositions spéciales pour citernes mobiles et conteneurs pour vrac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Code-citerne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Véhicule pour le transport en citerne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Catégorie de transport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Dispositions spéciales de transport - Colis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Dispositions spéciales de transport - Vrac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Dispositions spéciales de transport - Chargement, déchargement et manutention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Numéro d’identification du danger (code Kemler)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Panneaux oranges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5" name="" descr="Panneaux oran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Pr>
                <w:noProof/>
                <w:lang w:val="fr-BE"/>
              </w:rPr>
              <w:t>Code de restriction en tunnels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Dispositions spéciales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Quantités limitées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Quantités exceptées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Instructions d’emballage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Dispositions spéciales d’emballage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Instructions d’emballages GRV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Dispositions spéciales GRV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Instructions pour citernes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Dispositions spéciales pour citernes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Catégorie de chargement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Arrimage et manutention (Code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Pr>
                <w:noProof/>
              </w:rPr>
              <w:t>Quantités exceptées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Pr>
                <w:noProof/>
              </w:rPr>
              <w:t>Quantités limitées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Pr>
                <w:noProof/>
                <w:lang w:val="fr-BE"/>
              </w:rPr>
              <w:t>Quantité nette max. pour quantité limitée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Pr>
                <w:noProof/>
              </w:rPr>
              <w:t>Instructions d’emballage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Pr>
                <w:noProof/>
              </w:rPr>
              <w:t>Quantité nette max. pour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Pr>
                <w:noProof/>
              </w:rPr>
              <w:t>Instructions d’emballage avion cargo seulement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Quantité max. nette avion cargo seulement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Dispositions spéciales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Code ERG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Code de classification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Dispositions spéciales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Quantités limitées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Quantités exceptées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Transport admis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Equipement exigé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Nombre de cônes/feux bleus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Exigences supplémentaires/Observations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Uniquement à l'état fondu. ** Pour le transport en vrac, voir aussi le 7.1.4.1. *** Uniquement en cas de transport en vrac.</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Code de classification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Dispositions spéciales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Quantités limitées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Quantités exceptées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Instructions d’emballage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Dispositions spéciales d’emballage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Pr>
                <w:noProof/>
              </w:rPr>
              <w:t>Dispositions particulières relatives à l‘emballage en commun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Instructions pour citernes mobiles et conteneurs pour vrac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Dispositions spéciales pour citernes mobiles et conteneurs pour vrac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Codes-citerne pour les citernes RID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Catégorie de transport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Dispositions spéciales de transport - Colis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Pr>
                <w:noProof/>
              </w:rPr>
              <w:t>Dispositions spéciales de transport - Vrac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Dispositions spéciales de transport - Chargement, déchargement et manutention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Colis express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Numéro d’identification du danger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anisaldehyde ; cinnamaldehyde ; Eugenol ; linalool ; pin-2(3)-ene ; d-limonene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anisaldehyde ; 1,3,4,6,7,8-hexahydro-4,6,6,7,8,8-hexamethylindeno[5,6-c]pyran ; cinnamaldehyde ; 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cutanée)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cutanée),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orale), catégorie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 par aspiration, catégorie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catégorie 3</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pour la reproduction, catégorie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 et vapeurs inflammables.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être mortel en cas d’ingestion et de pénétration dans les voies respiratoires.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contact cutané.</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Susceptible de nuire à la fertilité ou au fœtus.</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22/06/2026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18</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18</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22/06/2026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18</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thé noir et vanille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thé noir et vanille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22/06/2026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EE3A1A7D-8EC9-44A0-99C2-712B6A031E05}"/>
</file>

<file path=customXml/itemProps3.xml><?xml version="1.0" encoding="utf-8"?>
<ds:datastoreItem xmlns:ds="http://schemas.openxmlformats.org/officeDocument/2006/customXml" ds:itemID="{7D728B3B-F687-4444-B328-7FDBE5AB18BD}"/>
</file>

<file path=customXml/itemProps4.xml><?xml version="1.0" encoding="utf-8"?>
<ds:datastoreItem xmlns:ds="http://schemas.openxmlformats.org/officeDocument/2006/customXml" ds:itemID="{166D5C2C-F803-4D4B-9659-7F5493C6335A}"/>
</file>

<file path=docProps/app.xml><?xml version="1.0" encoding="utf-8"?>
<Properties xmlns="http://schemas.openxmlformats.org/officeDocument/2006/extended-properties" xmlns:vt="http://schemas.openxmlformats.org/officeDocument/2006/docPropsVTypes">
  <Template>Normal</Template>
  <TotalTime>219</TotalTime>
  <Pages>18</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