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thé chaï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 Word</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Sensibilisation cutanée, catégorie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Dangereux pour le milieu aquatique – Danger chronique, catégorie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Pr>
          <w:noProof/>
        </w:rPr>
        <w:t>Peut provoquer une allergie cutanée. Nocif pour les organismes aquatiques, entraîne des effets néfastes à long terme.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Pictogrammes de danger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Mention d’avertissement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Attention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Acétate de 4-tert-butylcyclohexyle; 1-(1,2,3,4,5,6,7,8-octahydro-2,3,8,8-tetramethyl-2-naphthyl)ethan-1-one; methyl cedryl ether; coumarin; cineole; alpha-iso-methylionone; cashmeran; cinnamaldehyde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Peut provoquer une allergie cutanée.</w:t>
              <w:br/>
              <w:t>H412 - Nocif pour les organismes aquatiques, entraîne des effets néfastes à long terme.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P302+P352 - EN CAS DE CONTACT AVEC LA PEAU: Laver abondamment à l’eau et au savon.</w:t>
              <w:br/>
              <w:t>P333+P313 - En cas d’irritation ou d’éruption cutanée: consulter un médecin.</w:t>
              <w:br/>
              <w:t>P501 - Éliminer le contenu et le récipient dans un centre de tri, conformément à la réglementation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Acétate de 4-tert-butylcyclohexyle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32210-23-4</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250-954-9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0,8169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methyl cedryl ether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19870-74-7</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243-384-7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0,2919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91-64-5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0,2919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orale), H302 (ATE=500 mg/kg de poids corporel)</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cineole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470-82-6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207-431-5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0,2331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alpha-iso-methylionone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127-51-5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204-846-3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0,1918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cashmeran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33704-61-9</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251-649-3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0,1169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br/>
              <w:t>Aquatic Chronic 2, H411</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alpha-cedrene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469-61-4</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207-418-4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0,1022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Asp. Tox. 1, H304</w:t>
              <w:br/>
              <w:t>Aquatic Acute 1, H400 (M=10)</w:t>
              <w:br/>
              <w:t>Aquatic Chronic 1, H410 (M=10)</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0,0875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cutanée), H312 (ATE=1260 mg/kg de poids corporel)</w:t>
              <w:br/>
              <w:t>Skin Irrit. 2, H315</w:t>
              <w:br/>
              <w:t>Eye Irrit. 2, H319</w:t>
              <w:br/>
              <w:t>Skin Sens. 1A, H317</w:t>
              <w:br/>
              <w:t>Aquatic Chronic 3, H412</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Limites de concentration spécifiques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Identificateur de produit</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Limites de concentration spécifiques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Laver la peau avec beaucoup d’eau. Enlever les vêtements contaminés. En cas d’irritation ou d’éruption cutanée: consulter un médecin.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Peut provoquer une allergie cutanée.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Ventiler la zone de déversement. Eviter le contact avec la peau et les yeux. Éviter de respirer les poussières/fumées/gaz/brouillards/vapeurs/aérosols.</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Transvaser le produit dans un récipient sec à l’aide d’une pelle, et refermer le récipient sans comprimer le produit.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Eviter le contact avec la peau et les yeux. Éviter de respirer les poussières/fumées/gaz/brouillards/vapeurs/aérosols.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Les vêtements de travail contaminés ne devraient pas sortir du lieu de travail. Laver les vêtements contaminés avant réutilisation. 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Hespéridée. Thé. Epicée.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Acétate de 4-tert-butylcyclohexyle (32210-23-4)</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300 – 2000 mg/kg de poids corporel Animal: rat, Animal sex: female, Guideline: OECD Guideline 420 (Acute Oral Toxicity - Fixed Dose Method), Guideline: EU Method B.1 bis (Acute Oral Toxicity - Fixed Dose Procedure)</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coumarin (91-64-5)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293 mg/kg de poids corporel Animal: rat,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293 mg/kg de poids corporel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alpha-iso-methylionone (127-51-5)</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poids corporel Animal: rat, Animal sex: female, Guideline: OECD Guideline 423 (Acute Oral toxicity - Acute Toxic Class Method)</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poids corporel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cashmeran (33704-61-9)</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2685 mg/kg de poids corporel Animal: rat, Animal sex: female, Guideline: OECD Guideline 401 (Acute Oral Toxicity), 95% CL: 2043 - 3529</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de poids corporel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de poids corporel Animal: guinea pig, Guideline: other:</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poids corporel Animal: rat,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1260 mg/kg de poids corporel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Inhalation - Rat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alpha-iso-methylionone (127-51-5)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alpha-iso-methylionone (127-51-5)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Peut provoquer une allergie cutanée.</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coumarin (91-64-5)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(animal/femelle,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&gt; 333 mg/kg de poids corporel Animal: rat, Animal sex: female</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cashmeran (33704-61-9)</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(animal/mâle,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150 mg/kg de poids corporel Animal: rat, Animal sex: male, Guideline: OECD Guideline 421 (Reproduction / Developmental Toxicity Screening Test)</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(animal/femelle,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1875 mg/kg de poids corporel Animal: rat, Animal sex: female, Guideline: OECD Guideline 421 (Reproduction / Developmental Toxicity Screening Test)</w:t>
            </w:r>
          </w:p>
        </w:tc>
      </w:tr>
      <w:tr w14:paraId="7F80DA22"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ABE7414" w14:textId="39CCFB47">
            <w:pPr>
              <w:pStyle w:val="SDSTableTextNormal"/>
              <w:rPr>
                <w:noProof w:val="0"/>
              </w:rPr>
            </w:pPr>
            <w:r w:rsidRPr="0069446B" w:rsidR="00FA7F7F">
              <w:rPr>
                <w:noProof/>
              </w:rPr>
              <w:t>NOAEL (animal/mâle, F1)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777F1B7" w14:textId="10B7482F">
            <w:pPr>
              <w:pStyle w:val="SDSTableTextNormal"/>
              <w:rPr>
                <w:noProof w:val="0"/>
              </w:rPr>
            </w:pPr>
            <w:r w:rsidRPr="0069446B">
              <w:rPr>
                <w:noProof/>
              </w:rPr>
              <w:t>1875 mg/kg de poids corporel Animal: rat, Animal sex: 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coumarin (91-64-5)</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(subchronique, oral, animal/femelle,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de poids corporel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cineole (470-82-6)</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600 mg/kg de poids corporel Animal: rat, Animal sex: female, Guideline: other:, Guideline: OECD Guideline 407 (Repeated Dose 28-Day Oral Toxicity Study in Rodents), Guideline: EPA OPPTS 870.3150 (90-Day Oral Toxicity in Non-rodents)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alpha-iso-methylionone (127-51-5)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30 mg/kg de poids corporel Animal: rat, Animal sex: male, Guideline: OECD Guideline 408 (Repeated Dose 90-Day Oral Toxicity Study in Rodents)</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50 mg/kg de poids corporel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cashmeran (33704-61-9)</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 mg/kg de poids corporel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de poids corporel Animal: rat, Guideline: OECD Guideline 407 (Repeated Dose 28-Day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thé chaï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Informations sur les autres dangers</w:t>
      </w:r>
      <w:bookmarkEnd w:id="2"/>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Nocif pour les organismes aquatiques, entraîne des effets néfastes à long terme.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Nocif pour les organismes aquatiques, entraîne des effets néfastes à long terme.</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Acétate de 4-tert-butylcyclohexyle (32210-23-4)</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8,6 mg/l Test organisms (species): Cyprinus carpio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5,3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22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coumarin (91-64-5)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Poisson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sidR="00FA7F7F">
              <w:rPr>
                <w:noProof/>
              </w:rPr>
              <w:t>1,324 mg/l Test organisms (species):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8,012 mg/l Test organisms (species): Daphnia sp.</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1,452 mg/l Test organisms (species):</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0,5 mg/l Test organisms (species):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cineole (470-82-6)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57 mg/l Test organisms (species): Oncorhynchus mykiss (previous name: Salmo gairdneri)</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&gt; 100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74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&gt; 74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alpha-iso-methylionone (127-51-5)</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Oncorhynchus mykiss (previous name: Salmo gairdneri)</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20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cashmeran (33704-61-9)</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1,7 mg/l Test organisms (species): Oryzias latipes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1,5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15,159 mg/l Test organisms (species): other: Duration: '28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Bougie thé chaï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Acétate de 4-tert-butylcyclohexyle (32210-23-4)</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methyl cedryl ether (19870-74-7)</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coumarin (91-64-5)</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cineole (470-82-6)</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alpha-iso-methylionone (127-51-5)</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cashmeran (33704-61-9)</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alpha-cedrene (469-61-4)</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3"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“Écotoxique”: déchet qui présente ou peut présenter des risques immédiats ou différés pour une ou plusieurs composantes de l’environnement.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cineole ; 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2.1 à 2.4, 2.6 et 2.7, 2.8 types A et B, 2.9, 2.10, 2.12, 2.13 catégories 1 et 2, 2.14 catégories 1 et 2, 2.15 types A à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cineole ; cinnamaldehyde ; 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cinnamaldehyde ; 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(par voie cutanée)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Toxicité aiguë (par voie cutanée), catégorie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(par voie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aiguë (par voie orale), catégorie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aigu, catégorie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 par aspiration, catégorie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Liquides inflammables, catégorie 3</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1A</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 et vapeurs inflammables.</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en cas d’ingestion.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être mortel en cas d’ingestion et de pénétration dans les voies respiratoires.</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par contact cutané.</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 entraîne des effets néfastes à long terme.</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Toxique pour les organismes aquatiques, entraîne des effets néfastes à long terme.</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Méthode de calcul</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29/07/2026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14</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29/07/2026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thé chaï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thé chaï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29/07/2026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29956C42-D075-4B1A-9D16-0CCB296F6090}"/>
</file>

<file path=customXml/itemProps3.xml><?xml version="1.0" encoding="utf-8"?>
<ds:datastoreItem xmlns:ds="http://schemas.openxmlformats.org/officeDocument/2006/customXml" ds:itemID="{129B3933-ACE5-4B46-BD6B-942BFB5AD82B}"/>
</file>

<file path=customXml/itemProps4.xml><?xml version="1.0" encoding="utf-8"?>
<ds:datastoreItem xmlns:ds="http://schemas.openxmlformats.org/officeDocument/2006/customXml" ds:itemID="{8F73AB41-0F74-4776-B809-C01D153F8D1A}"/>
</file>

<file path=docProps/app.xml><?xml version="1.0" encoding="utf-8"?>
<Properties xmlns="http://schemas.openxmlformats.org/officeDocument/2006/extended-properties" xmlns:vt="http://schemas.openxmlformats.org/officeDocument/2006/docPropsVTypes">
  <Template>Normal</Template>
  <TotalTime>219</TotalTime>
  <Pages>14</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