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thé chaï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Acétate de 4-tert-butylcyclohexyle; 1-(1,2,3,4,5,6,7,8-octahydro-2,3,8,8-tetramethyl-2-naphthyl)ethan-1-one; coumarin; methyl cedryl ether; cineole; alpha-iso-methylionone; cashmeran; cinnamaldehyde; Eugenol;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Propanoic acid, 2-(1,1-dimethylpropoxy)-, propyl ester, (2S)-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319002-92-1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437-530-0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1A, H317</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Thé.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Propanoic acid, 2-(1,1-dimethylpropoxy)-, propyl ester, (2S)- (319002-92-1)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Guideline: OECD Guideline 423 (Acute Oral toxicity - Acute Toxic Class Method), Guideline: EU Method B.1 tris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de poids corporel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poids corporel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de poids corporel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(animal/mâle,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Propanoic acid, 2-(1,1-dimethylpropoxy)-, propyl ester, (2S)- (319002-92-1)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 Guideline: EU Method B.7 (Repeated Dose (28 Days) Toxicity (Oral))</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de poids corporel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de poids corporel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poids corporel Animal: rat, Guideline: OECD Guideline 408 (Repeated Dose 90-Day Oral Toxicity Study in Rodents)</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thé chaï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Acétate de 4-tert-butylcyclohexyle (32210-23-4)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Propanoic acid, 2-(1,1-dimethylpropoxy)-, propyl ester, (2S)- (319002-92-1)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85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thé chaï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Acétate de 4-tert-butylcyclohexyle (32210-23-4)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Propanoic acid, 2-(1,1-dimethylpropoxy)-, propyl ester, (2S)- (319002-92-1)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cineole ; cinnamaldehyde ; Eugenol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thé chaï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thé chaï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29/07/2026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0B32B97-4BDF-4BBD-B1EC-C40885A67DA1}"/>
</file>

<file path=customXml/itemProps3.xml><?xml version="1.0" encoding="utf-8"?>
<ds:datastoreItem xmlns:ds="http://schemas.openxmlformats.org/officeDocument/2006/customXml" ds:itemID="{DCAA5F23-E249-421F-A375-F0861C84223A}"/>
</file>

<file path=customXml/itemProps4.xml><?xml version="1.0" encoding="utf-8"?>
<ds:datastoreItem xmlns:ds="http://schemas.openxmlformats.org/officeDocument/2006/customXml" ds:itemID="{5D97DE4D-BF78-4DC1-96A7-35F457D8657A}"/>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