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spéculoos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0,53655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voie orale), H302 (ATE=500 mg/kg de poids corporel)</w:t>
              <w:br/>
              <w:t>Acute Tox. 3 (par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Diacétyle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Toxicité spécifique pour certains organes cibles (STOT) (exposition répétée)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Risque présumé d’effets graves pour les organes à la suite d’expositions répétées ou d’une exposition prolongée.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spéculoos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spéculoos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répétée,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 à la suite d’expositions répétées ou d’une exposition prolongée.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spéculoos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spéculoos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EB61278-D5F3-4BDF-B67B-B0C135A63B37}"/>
</file>

<file path=customXml/itemProps3.xml><?xml version="1.0" encoding="utf-8"?>
<ds:datastoreItem xmlns:ds="http://schemas.openxmlformats.org/officeDocument/2006/customXml" ds:itemID="{7894CB44-1741-414F-ADB7-2F0B6221CB06}"/>
</file>

<file path=customXml/itemProps4.xml><?xml version="1.0" encoding="utf-8"?>
<ds:datastoreItem xmlns:ds="http://schemas.openxmlformats.org/officeDocument/2006/customXml" ds:itemID="{CBB3843F-7F51-4566-AA2E-2979991C74AC}"/>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