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spa feeling 5%</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A notre connaissance, ce produit ne présente pas de risque particulier, sous réserve de respecter les règles générales d’hygiène industrielle.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linalool, HEXYL CINNAMAL, TETRAMETHYL ACETYLOCTAHYDRONAPHTHALENES.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Même si aucun danger spécifique n’est défini, les secouristes doivent porter des lunettes de protection, des gants et un demi-masque jetable. Envisager une protection supplémentaire en cas de possible exposition répétée ou prolongée.</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Florale. Fleur blanche.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linalool (78-70-6)</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spa feeling 5%</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linalool (78-70-6)</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27,8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spa feeling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linalool (78-70-6)</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facilement biodégradable.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Dangereux pour le milieu aquatique – Danger aigu, catégorie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linalool, HEXYL CINNAMAL, TETRAMETHYL ACETYLOCTAHYDRONAPHTHALENES.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05/10/2026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spa feeling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spa feeling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05/10/2026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8973EAD3-6C6E-4500-ABFA-3866A4CB7057}"/>
</file>

<file path=customXml/itemProps3.xml><?xml version="1.0" encoding="utf-8"?>
<ds:datastoreItem xmlns:ds="http://schemas.openxmlformats.org/officeDocument/2006/customXml" ds:itemID="{7A87CDF8-ADF4-4090-8A09-E90D2747FA8E}"/>
</file>

<file path=customXml/itemProps4.xml><?xml version="1.0" encoding="utf-8"?>
<ds:datastoreItem xmlns:ds="http://schemas.openxmlformats.org/officeDocument/2006/customXml" ds:itemID="{9084CF7C-E663-4E3E-93BB-52B125E9930C}"/>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