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pomme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Composition parfumante (parfum).</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cinnamaldehyde;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diethyl malonate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105-53-3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203-305-9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88-41-5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201-828-7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1,2894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0,81781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0,8148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(ATE=2000 mg/kg de poids corporel)</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(par voie orale), H301 (ATE=280 mg/kg de poids corporel)</w:t>
              <w:br/>
              <w:t>Acute Tox. 3 (par voie cutanée), H311 (ATE=820 mg/kg de poids corporel)</w:t>
              <w:br/>
              <w:t>Acute Tox. 3 (par inhalation), H331 (ATE=0,5 mg/l/4h)</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Epicée.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84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0,994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de poids corporel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de poids corporel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diethyl malonate (105-53-3)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15794 mg/kg de poids corporel Animal: rat, Animal sex: male, Guideline: other:</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16960 mg/kg de poids corporel Animal: rabbit, Animal sex: male,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de poids corporel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de poids corporel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de poids corporel Animal: rat, Animal sex: male,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(animal/femelle,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de poids corporel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pomme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allyl hexanoate (123-68-2)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0,117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4,6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diethyl malonate (105-53-3)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508,2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&gt; 800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pomme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allyl hexanoate (123-68-2)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diethyl malonate (105-53-3)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2-tert-butylcyclohexyl acetate (88-41-5)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allyl hexanoate ; d-limonene ; diethyl malonate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allyl hexanoate ; d-limonene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en cas d’ingestion.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contact cutané.</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par inhalation.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18/09/2026 (Date de révision)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18/09/2026 (Date de révision)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pomme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pomme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23/04/2026   Date de révision: 18/09/2026   Remplace la version de: 23/04/2026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1048CB2-EBCF-4742-A987-C36F2F4C5DDF}"/>
</file>

<file path=customXml/itemProps3.xml><?xml version="1.0" encoding="utf-8"?>
<ds:datastoreItem xmlns:ds="http://schemas.openxmlformats.org/officeDocument/2006/customXml" ds:itemID="{4B93D75B-0D03-4AC3-985A-BC2FF79DCF8B}"/>
</file>

<file path=customXml/itemProps4.xml><?xml version="1.0" encoding="utf-8"?>
<ds:datastoreItem xmlns:ds="http://schemas.openxmlformats.org/officeDocument/2006/customXml" ds:itemID="{D14959EF-2A2B-489B-BF32-7D7D04317C0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