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pomme cannelle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professionnelle,Utilisation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Composition parfumante (parfum).</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1,2894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0,81781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(ATE=280 mg/kg de poids corporel)</w:t>
              <w:br/>
              <w:t>Acute Tox. 3 (par voie cutanée), H311 (ATE=820 mg/kg de poids corporel)</w:t>
              <w:br/>
              <w:t>Acute Tox. 3 (par inhalation),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de poids corporel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de poids corporel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de poids corporel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de poids corporel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de poids corporel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de poids corporel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de poids corporel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pomme cannelle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pomme cannelle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diethyl malonate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inhalation.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pomme cannelle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pomme cannelle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23/04/2026   Version: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880E15E-2B07-4E6C-9A42-3F724353DC34}"/>
</file>

<file path=customXml/itemProps3.xml><?xml version="1.0" encoding="utf-8"?>
<ds:datastoreItem xmlns:ds="http://schemas.openxmlformats.org/officeDocument/2006/customXml" ds:itemID="{A64F8BED-DCC7-4E09-BB03-E1FFC69C5244}"/>
</file>

<file path=customXml/itemProps4.xml><?xml version="1.0" encoding="utf-8"?>
<ds:datastoreItem xmlns:ds="http://schemas.openxmlformats.org/officeDocument/2006/customXml" ds:itemID="{8227DC94-B1D0-4107-BCB4-919B8551EE7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