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pomme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Composition parfumante (parfum).</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α-methylcinnamaldehyde; 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(ATE=280 mg/kg de poids corporel)</w:t>
              <w:br/>
              <w:t>Acute Tox. 3 (par voie cutanée), H311 (ATE=820 mg/kg de poids corporel)</w:t>
              <w:br/>
              <w:t>Acute Tox. 3 (par inhalation),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Epicée.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de poids corporel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de poids corporel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de poids corporel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de poids corporel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pomme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pomme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p w:rsidR="00A65092" w:rsidRPr="0069446B" w:rsidP="00A65092" w14:paraId="1965DBDA" w14:textId="0FFE3A91">
      <w:pPr>
        <w:pStyle w:val="SDSTextNormal"/>
      </w:pPr>
      <w:r>
        <w:rPr>
          <w:noProof/>
        </w:rPr>
        <w:t>Ne contient pas de substance(s) listée(s) dans l’Annexe XVII de REACH (Conditions de restriction)</w:t>
      </w:r>
    </w:p>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18/09/2026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18/09/2026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pomme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Bougie pomme cannelle 10%</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23/04/2026   Date de révision: 18/09/2026   Remplace la version de: 23/04/2026   Version: 5.0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DC1816-F471-41B1-846F-D29D9C0E6C3E}"/>
</file>

<file path=customXml/itemProps3.xml><?xml version="1.0" encoding="utf-8"?>
<ds:datastoreItem xmlns:ds="http://schemas.openxmlformats.org/officeDocument/2006/customXml" ds:itemID="{23ADDE02-8A5C-4A3C-A40F-D657F8330E29}"/>
</file>

<file path=customXml/itemProps4.xml><?xml version="1.0" encoding="utf-8"?>
<ds:datastoreItem xmlns:ds="http://schemas.openxmlformats.org/officeDocument/2006/customXml" ds:itemID="{775A9097-0C27-40FC-A519-4CF9D3BA82F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