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pistache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SALICYLATE, COUMARIN, HEXYL SALICYLATE, ISOAMYL SALICYLATE.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0,4543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classé</w:t>
              <w:br/>
              <w:t>Aquatic Acute 1, H400 (M=1)</w:t>
              <w:br/>
              <w:t>Aquatic Chronic 1, H410 (M=1)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Fruitée.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de poids corporel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1310 mg/kg de poids corporel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poids corporel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pistache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pistache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hexyl salicylate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hexyl salicylate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(exposition répétée) Non classé</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au fœtus.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SALICYLATE, COUMARIN, HEXYL SALICYLATE, ISOAMYL SALICYLATE.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pistache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pistache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8B94ACD-402C-480E-B97B-EF93D54B919F}"/>
</file>

<file path=customXml/itemProps3.xml><?xml version="1.0" encoding="utf-8"?>
<ds:datastoreItem xmlns:ds="http://schemas.openxmlformats.org/officeDocument/2006/customXml" ds:itemID="{3520AF06-CD8F-4668-A0B8-B227A28A152E}"/>
</file>

<file path=customXml/itemProps4.xml><?xml version="1.0" encoding="utf-8"?>
<ds:datastoreItem xmlns:ds="http://schemas.openxmlformats.org/officeDocument/2006/customXml" ds:itemID="{5BB79879-CB8E-4995-A831-DD14DF44A86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