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pain d'épices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(E)-anethole; isoeugenol; benzyl alcohol; Eugenol;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voie orale), H302 (ATE=500 mg/kg de poids corporel)</w:t>
              <w:br/>
              <w:t>Acute Tox. 3 (par inhalation), H331</w:t>
              <w:br/>
              <w:t>Skin Irrit. 2, H315</w:t>
              <w:br/>
              <w:t>Eye Dam. 1, H318</w:t>
              <w:br/>
              <w:t>Skin Sens. 1, H317</w:t>
              <w:br/>
              <w:t>STOT RE 2, H373</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Diacétyle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Vanille. Alimentaire.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poids corporel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poids corporel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Toxicité spécifique pour certains organes cibles (STOT) (exposition répétée)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Risque présumé d’effets graves pour les organes à la suite d’expositions répétées ou d’une exposition prolongée.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pain d'épices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pain d'épices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isoeugenol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Inhalation),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répétée, catégorie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 à la suite d’expositions répétées ou d’une exposition prolongée.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pain d'épices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pain d'épices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13/10/2026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1232B76-6C98-4A04-88A3-38A70C77ADB6}"/>
</file>

<file path=customXml/itemProps3.xml><?xml version="1.0" encoding="utf-8"?>
<ds:datastoreItem xmlns:ds="http://schemas.openxmlformats.org/officeDocument/2006/customXml" ds:itemID="{BF8BCA9D-D5CD-4694-96F8-72A3F386F179}"/>
</file>

<file path=customXml/itemProps4.xml><?xml version="1.0" encoding="utf-8"?>
<ds:datastoreItem xmlns:ds="http://schemas.openxmlformats.org/officeDocument/2006/customXml" ds:itemID="{D193C890-F342-4646-B421-BD096706191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