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oud eternel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Dangereux pour le milieu aquatique – Danger chronique, catégorie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Pr>
          <w:noProof/>
        </w:rPr>
        <w:t>Peut provoquer une allergie cutanée. Nocif pour les organismes aquatiques, entraîne des effets néfastes à long terme.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(ethoxymethoxy)cyclododecane; α-hexylcinnamaldehyde; methyl cedryl ether; 1-(1,2,3,4,5,6,7,8-octahydro-2,3,8,8-tetramethyl-2-naphthyl)ethan-1-one; d-limonene; 4-tert-butylcyclohexyl acetate; 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Peut provoquer une allergie cutanée.</w:t>
              <w:br/>
              <w:t>H412 - Nocif pour les organismes aquatiques, entraîne des effets néfastes à long terme.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P273 - Éviter le rejet dans l’environnement.</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Composant</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Substance(s) ne répondant pas aux critères PBT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 (ethoxymethoxy)cyclododecane (58567-11-6)</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Substance(s) ne répondant pas aux critères vPvB du règlement REACH, conformément à l’annexe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 (ethoxymethoxy)cyclododecane (58567-11-6)</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methyl cedryl ether</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19870-74-7</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0,5418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0,4606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0,3612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0,3108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(ethoxymethoxy)cyclododecane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58567-11-6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261-332-1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0,0539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0,02261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(par voie cutanée), H312 (ATE=1260 mg/kg de poids corporel)</w:t>
              <w:br/>
              <w:t>Skin Irrit. 2, H315</w:t>
              <w:br/>
              <w:t>Eye Irrit. 2, H319</w:t>
              <w:br/>
              <w:t>Skin Sens. 1A, H317</w:t>
              <w:br/>
              <w:t>Aquatic Acute 1, H400</w:t>
              <w:br/>
              <w:t>Aquatic Chronic 2, H411</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heptanoate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142-19-8</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205-527-1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0,0182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3 (par voie orale), H301 (ATE=218 mg/kg de poids corporel)</w:t>
              <w:br/>
              <w:t>Acute Tox. 3 (par voie cutanée), H311 (ATE=810 mg/kg de poids corporel)</w:t>
              <w:br/>
              <w:t>Aquatic Acute 1, H400 (M=10)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Limites de concentration spécifiques</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Identificateur de produit</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Limites de concentration spécifiques</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Boisé. Hespéridée. Ambré.</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7E6D8D8" w14:textId="2532CED4">
            <w:pPr>
              <w:pStyle w:val="SDSTableTextNormal"/>
              <w:rPr>
                <w:noProof w:val="0"/>
              </w:rPr>
            </w:pPr>
            <w:r w:rsidRPr="0069446B" w:rsidR="00FA7F7F">
              <w:rPr>
                <w:noProof/>
              </w:rPr>
              <w:t>Produit insoluble dans l’eau.</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de poids corporel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Inhalation -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allyl heptanoate (142-19-8)</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218 mg/kg de poids corporel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810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(ethoxymethoxy)cyclododecane (58567-11-6)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de poids corporel Animal: rat, Animal sex: male,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de poids corporel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de poids corporel Animal: rat, Animal sex: female, Guideline: OECD Guideline 420 (Acute Oral Toxicity - Fixed Dose Method), Guideline: EU Method B.1 bis (Acute Oral Toxicity - Fixed Dose Procedure)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de poids corporel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de poids corporel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de poids corporel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de poids corporel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Inhalation - Rat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(ethoxymethoxy)cyclododecane (58567-11-6)</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(animal/mâle,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50 mg/kg de poids corporel Animal: rat, Animal sex: male, Guideline: OECD Guideline 422 (Combined Repeated Dose Toxicity Study with the Reproduction / Developmental Toxicity Screening Test), Guideline: other:</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1000 mg/kg de poids corporel Animal: rat, Animal sex: female, Guideline: OECD Guideline 422 (Combined Repeated Dose Toxicity Study with the Reproduction / Developmental Toxicity Screening Test),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de poids corporel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de poids corporel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de poids corporel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oud eternel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allyl heptanoate (142-19-8)</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1,7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Informations sur les autres dangers</w:t>
      </w:r>
      <w:bookmarkEnd w:id="3"/>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Nocif pour les organismes aquatiques, entraîne des effets néfastes à long terme.</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Nocif pour les organismes aquatiques, entraîne des effets néfastes à long terme.</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allyl heptanoate (142-19-8)</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0,117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4,6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0,778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(ethoxymethoxy)cyclododecane (58567-11-6)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1,9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1,6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Poisson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Crustacés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chronique poisson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oud eternel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allyl heptanoate (142-19-8)</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(ethoxymethoxy)cyclododecane (58567-11-6)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methyl cedryl ether (19870-74-7)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Composant</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Substance(s) ne répondant pas aux critères PBT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Pr>
                <w:noProof/>
              </w:rPr>
              <w:t>1,3,4,6,7,8-hexahydro-4,6,6,7,8,8-hexamethylindeno[5,6-c]pyran (1222-05-5), (ethoxymethoxy)cyclododecane (58567-11-6)</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Substance(s) ne répondant pas aux critères vPvB du règlement REACH, conformément à l’annexe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Pr>
                <w:noProof/>
              </w:rPr>
              <w:t>1,3,4,6,7,8-hexahydro-4,6,6,7,8,8-hexamethylindeno[5,6-c]pyran (1222-05-5), (ethoxymethoxy)cyclododecane (58567-11-6)</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4"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“Écotoxique”: déchet qui présente ou peut présenter des risques immédiats ou différés pour une ou plusieurs composantes de l’environnement.</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p w:rsidR="00A65092" w:rsidRPr="0069446B" w:rsidP="00A65092" w14:paraId="1965DBDA" w14:textId="0FFE3A91">
      <w:pPr>
        <w:pStyle w:val="SDSTextNormal"/>
      </w:pPr>
      <w:r>
        <w:rPr>
          <w:noProof/>
        </w:rPr>
        <w:t>Ne contient pas de substance(s) listée(s) dans l’Annexe XVII de REACH (Conditions de restriction)</w:t>
      </w:r>
    </w:p>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Toxicité aiguë (par voie cutanée), catégorie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(par voie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orale), catégorie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(par voie cutanée)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aiguë (par voie cutanée), catégorie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aigu, catégorie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 par aspiration, catégorie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Liquides inflammables, catégorie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Liquide et vapeurs inflammables.</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en cas d’ingestion.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être mortel en cas d’ingestion et de pénétration dans les voies respiratoires.</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par contact cutané.</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par contact cutané.</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Très toxique pour les organismes aquatiques, entraîne des effets néfastes à long terme.</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17/04/2026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17/04/2026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oud eternel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oud eternel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17/04/2026   Version: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3BD4DA1F-07A8-4BA3-9B20-12FD9B5215DF}"/>
</file>

<file path=customXml/itemProps3.xml><?xml version="1.0" encoding="utf-8"?>
<ds:datastoreItem xmlns:ds="http://schemas.openxmlformats.org/officeDocument/2006/customXml" ds:itemID="{70027AA8-F5F6-4D84-9CD2-1796502C223F}"/>
</file>

<file path=customXml/itemProps4.xml><?xml version="1.0" encoding="utf-8"?>
<ds:datastoreItem xmlns:ds="http://schemas.openxmlformats.org/officeDocument/2006/customXml" ds:itemID="{989D09F7-64DA-4E47-A2D1-55CD762D0221}"/>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