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orientale et encens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isoeugenol;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Epicée. Anisée. Vanille.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orientale et encens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orientale et encens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Eugenol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orientale et encens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orientale et encens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FDEE1A-CBD9-426E-9A0C-988040ABF6DE}"/>
</file>

<file path=customXml/itemProps3.xml><?xml version="1.0" encoding="utf-8"?>
<ds:datastoreItem xmlns:ds="http://schemas.openxmlformats.org/officeDocument/2006/customXml" ds:itemID="{8704BAF6-0059-408C-926B-0706805F39AA}"/>
</file>

<file path=customXml/itemProps4.xml><?xml version="1.0" encoding="utf-8"?>
<ds:datastoreItem xmlns:ds="http://schemas.openxmlformats.org/officeDocument/2006/customXml" ds:itemID="{168C512E-8C08-4094-9A2B-0E6AB1E9AB3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