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orchidée noire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1-(1,2,3,4,5,6,7,8-octahydro-2,3,8,8-tetramethyl-2-naphthyl)ethan-1-one; benzyl salicylate; 3,7-dimethyloctan-3-ol;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0,2352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3,7-dimethyloctan-3-ol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78-69-3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201-133-9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0,0238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Chronic 3, H412</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Musc. Boisé. Epicée. Florale. Fruitée.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3,7-dimethyloctan-3-ol (78-69-3)</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sidR="00FA7F7F">
              <w:rPr>
                <w:noProof/>
              </w:rPr>
              <w:t>8270 mg/kg de poids corporel Animal: rat</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&gt; 5000 mg/kg de poids corporel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3,7-dimethyloctan-3-ol (78-69-3)</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orchidée noire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3,7-dimethyloctan-3-ol (78-69-3)</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13,393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3,7-dimethyloctan-3-ol (78-69-3)</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8,9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14,2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21,6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orchidée noire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3,7-dimethyloctan-3-ol (78-69-3)</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3,7-dimethyloctan-3-ol ; 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21/05/2026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orchidée noire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orchidée noire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21/05/2026   Version: 1.0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15F9EA51-4711-4D79-91DB-81A5F29899A4}"/>
</file>

<file path=customXml/itemProps3.xml><?xml version="1.0" encoding="utf-8"?>
<ds:datastoreItem xmlns:ds="http://schemas.openxmlformats.org/officeDocument/2006/customXml" ds:itemID="{ABB44165-69CF-4DB7-AF27-1DA53DE44C59}"/>
</file>

<file path=customXml/itemProps4.xml><?xml version="1.0" encoding="utf-8"?>
<ds:datastoreItem xmlns:ds="http://schemas.openxmlformats.org/officeDocument/2006/customXml" ds:itemID="{78AF47DC-CF4A-4AD8-A5DA-55C5533893B7}"/>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