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nuage de lotus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3,7-dimethylnona-1,6-dien-3-ol, géraniol; (2E)-3,7-diméthylocta-2,6-dién-1-ol, alpha-iso-methylionone, 3-(p-methoxyphenyl)-2-methylpropionaldehyde, citronellol.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de poids corporel Animal: rat, Animal sex: male, Guideline: OECD Guideline 401 (Acute Oral Toxicity), 95% CL: 3400 - 4600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nuage de lotus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nuage de lotus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3-(p-methoxyphenyl)-2-methylpropionaldehyde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3,7-dimethylnona-1,6-dien-3-ol, géraniol; (2E)-3,7-diméthylocta-2,6-dién-1-ol, alpha-iso-methylionone, 3-(p-methoxyphenyl)-2-methylpropionaldehyde, citronellol.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25/03/2026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25/03/2026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nuage de lotus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nuage de lotus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25/03/2026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AD49877-8949-4A5C-8D7C-B59CEDD8FCEA}"/>
</file>

<file path=customXml/itemProps3.xml><?xml version="1.0" encoding="utf-8"?>
<ds:datastoreItem xmlns:ds="http://schemas.openxmlformats.org/officeDocument/2006/customXml" ds:itemID="{BBCFC608-6553-4DEB-9DAB-942A97BAFB3D}"/>
</file>

<file path=customXml/itemProps4.xml><?xml version="1.0" encoding="utf-8"?>
<ds:datastoreItem xmlns:ds="http://schemas.openxmlformats.org/officeDocument/2006/customXml" ds:itemID="{159187D0-FB01-41FF-9690-67E882D0B488}"/>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