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nuage de lotus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3,7-dimethylnona-1,6-dien-3-ol, géraniol; (2E)-3,7-diméthylocta-2,6-dién-1-ol, alpha-iso-methylionone, 3-(p-methoxyphenyl)-2-methylpropionaldehyde, citronellol.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405-040-6</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603-101-00-3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ethylene brassylate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de poids corporel Animal: rat, Animal sex: male, Guideline: OECD Guideline 401 (Acute Oral Toxicity), 95% CL: 3400 - 4600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de poids corporel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de poids corporel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ethylene brassylate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nuage de lotus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nuage de lotus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ethylene brassylate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geraniol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3,7-dimethylnona-1,6-dien-3-ol, géraniol; (2E)-3,7-diméthylocta-2,6-dién-1-ol, alpha-iso-methylionone, 3-(p-methoxyphenyl)-2-methylpropionaldehyde, citronellol.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25/03/2026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25/03/2026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nuage de lotus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nuage de lotus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25/03/2026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2723B63-0B8C-4698-86E2-58A38146701F}"/>
</file>

<file path=customXml/itemProps3.xml><?xml version="1.0" encoding="utf-8"?>
<ds:datastoreItem xmlns:ds="http://schemas.openxmlformats.org/officeDocument/2006/customXml" ds:itemID="{C8C2B218-B99E-416E-8F23-AD50CEE09633}"/>
</file>

<file path=customXml/itemProps4.xml><?xml version="1.0" encoding="utf-8"?>
<ds:datastoreItem xmlns:ds="http://schemas.openxmlformats.org/officeDocument/2006/customXml" ds:itemID="{BF4419D2-E2EB-44D6-88DF-84E79E45918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