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noble oud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methyl palmitate; α-hexylcinnamaldehyde; benzyl salicylate; 1-(1,2,3,4,5,6,7,8-octahydro-2,3,8,8-tetramethyl-2-naphthyl)ethan-1-one; 4-tert-butylcyclohexyl acetate;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1,2383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Cuiré. Boisé. Oriental. balsamique.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noble oud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noble oud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noble oud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noble oud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0133C2B-5445-4156-8116-F1DBF4402CB9}"/>
</file>

<file path=customXml/itemProps3.xml><?xml version="1.0" encoding="utf-8"?>
<ds:datastoreItem xmlns:ds="http://schemas.openxmlformats.org/officeDocument/2006/customXml" ds:itemID="{91AF266F-5A95-4871-806F-13F412364F02}"/>
</file>

<file path=customXml/itemProps4.xml><?xml version="1.0" encoding="utf-8"?>
<ds:datastoreItem xmlns:ds="http://schemas.openxmlformats.org/officeDocument/2006/customXml" ds:itemID="{506A4F7A-3EC6-430F-A71C-D41575F8DE58}"/>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