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noble oud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une sévère irritation des yeux. Très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4-tert-butylcyclohexyl acetate; benzyl salicylate; methyl palmitate; α-hexylcinnamaldehyde; coumarin; cashmeran;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Cuiré. Boisé. balsamique.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de poids corporel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de poids corporel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de poids corporel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noble oud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Très 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noble oud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noble oud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noble oud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29BD26D-7B86-469F-BC99-589C015846E6}"/>
</file>

<file path=customXml/itemProps3.xml><?xml version="1.0" encoding="utf-8"?>
<ds:datastoreItem xmlns:ds="http://schemas.openxmlformats.org/officeDocument/2006/customXml" ds:itemID="{E41BA9F4-9FE7-40F6-AEDF-A0FB806671F8}"/>
</file>

<file path=customXml/itemProps4.xml><?xml version="1.0" encoding="utf-8"?>
<ds:datastoreItem xmlns:ds="http://schemas.openxmlformats.org/officeDocument/2006/customXml" ds:itemID="{458B89E7-466C-4B54-AEAC-3B7952BC8B66}"/>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