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musc blanc et coco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2-benzylideneheptanal, pentadecan-15-olide, coumarin, 3-methyl-4-(2,6,6-trimethyl-2-cyclohexen-1-yl)-3-buten-2-one.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122-40-7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Musqué.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musc blanc et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musc blanc et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2-benzylideneheptanal, pentadecan-15-olide, coumarin, 3-methyl-4-(2,6,6-trimethyl-2-cyclohexen-1-yl)-3-buten-2-one.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musc blanc et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musc blanc et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18/05/2026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E2C1BC2-D04E-4243-988F-24B0C380DE58}"/>
</file>

<file path=customXml/itemProps3.xml><?xml version="1.0" encoding="utf-8"?>
<ds:datastoreItem xmlns:ds="http://schemas.openxmlformats.org/officeDocument/2006/customXml" ds:itemID="{8BBF1ADE-A16C-4B45-A61C-A93A4BF22CDC}"/>
</file>

<file path=customXml/itemProps4.xml><?xml version="1.0" encoding="utf-8"?>
<ds:datastoreItem xmlns:ds="http://schemas.openxmlformats.org/officeDocument/2006/customXml" ds:itemID="{238905AA-ED4D-48F5-B032-5111B365627D}"/>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