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Lésions oculaires graves/irritation oculaire,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H319 - Provoque une sévère irritation des yeux.</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P261 - Éviter de respirer les poussières/fumées/gaz/brouillards/vapeurs/aérosols.</w:t>
              <w:br/>
              <w:t>P273 - Éviter le rejet dans l’environnement.</w:t>
              <w:br/>
              <w:t>P280 - Porter des gants de protection/des vêtements de protection/un équipement de protection des yeux/du visage/une protection auditive.</w:t>
              <w:br/>
              <w:t>P321 - Traitement spécifique (voir les instructions complémentaires de premiers secours sur cette étiquette).</w:t>
              <w:br/>
              <w:t>P333+P313 - En cas d’irritation ou d’éruption cutanée: consulter un médecin.</w:t>
              <w:br/>
              <w:t>P337+P313 - Si l’irritation oculaire persiste: consulter un médecin.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Aldéhyde.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Provoque une sévère irritation des yeux.</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(PRODUITS POUR PARFUMERIE)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(PRODUITS POUR PARFUMERIE),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(PRODUITS POUR PARFUMERIE),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9"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32A38D4-D8E2-4C95-95EC-AE8853ECA4C0}"/>
</file>

<file path=customXml/itemProps3.xml><?xml version="1.0" encoding="utf-8"?>
<ds:datastoreItem xmlns:ds="http://schemas.openxmlformats.org/officeDocument/2006/customXml" ds:itemID="{1DAB1C62-830A-43B5-92E1-16CED1CAF212}"/>
</file>

<file path=customXml/itemProps4.xml><?xml version="1.0" encoding="utf-8"?>
<ds:datastoreItem xmlns:ds="http://schemas.openxmlformats.org/officeDocument/2006/customXml" ds:itemID="{10A6833C-2AB7-4851-9E63-D61C2E106A7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