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musc blanc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p w:rsidR="00827634" w:rsidRPr="0069446B" w:rsidP="009E5102" w14:paraId="29F388B8" w14:textId="4336E5B9">
      <w:pPr>
        <w:pStyle w:val="SDSTextNormal"/>
        <w:rPr>
          <w:noProof/>
        </w:rPr>
      </w:pPr>
      <w:r w:rsidRPr="0069446B">
        <w:rPr>
          <w:noProof/>
        </w:rPr>
        <w:t>Non classé</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A notre connaissance, ce produit ne présente pas de risque particulier, sous réserve de respecter les règles générales d’hygiène industrielle.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P501 - Éliminer le contenu et le 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alpha-iso-methylionone, Salicylate de benzyle, HYDROXYCITRONELLAL, citronellol, coumarin.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118-58-1</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204-262-9</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607-754-00-5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0,4669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0,3892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0,2331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0,1106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alpha-iso-methylionone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127-51-5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204-846-3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0,1022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Florale. Aldéhyde. Musc. Poudrée.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7-hydroxycitronellal (107-75-5)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6400 mg/kg de poids corporel Animal: rat, Guideline: OECD Guideline 401 (Acute Oral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de poids corporel Animal: rat,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293 mg/kg de poids corporel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7-hydroxycitronellal (107-75-5)</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(chronique, oral, animal/mâle, 2 ans)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de poids corporel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de poids corporel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7-hydroxycitronellal (107-75-5)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de poids corporel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(subchronique, oral, animal/mâle,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de poids corporel Animal: mouse, Animal sex: male, Guideline: OECD Guideline 453 (Combined Chronic Toxicity / Carcinogenicity Studies)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(subchronique, oral, animal/femelle,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de poids corporel Animal: mouse, Animal sex: female</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musc blanc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7-hydroxycitronellal (107-75-5)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31,6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410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1,452 mg/l Test organisms (species):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0,5 mg/l Test organisms (species):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0,191 mg/l Test organisms (species):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musc blanc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alpha-iso-methylionone (127-51-5)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benzyl salicylate ; 7-hydroxycitronellal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voie orale),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alpha-iso-methylionone, Salicylate de benzyle, HYDROXYCITRONELLAL, citronellol, coumarin. Peut produire une réaction allergique.</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18/06/2026 (Date de révision)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18/06/2026 (Date de révision)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musc blanc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musc blanc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29/05/2026   Date de révision: 18/06/2026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4CD06D9D-1136-4D6C-9178-12B5D4CD68C2}"/>
</file>

<file path=customXml/itemProps3.xml><?xml version="1.0" encoding="utf-8"?>
<ds:datastoreItem xmlns:ds="http://schemas.openxmlformats.org/officeDocument/2006/customXml" ds:itemID="{32252A00-D12D-45CC-A527-5EEB5E8F6DC1}"/>
</file>

<file path=customXml/itemProps4.xml><?xml version="1.0" encoding="utf-8"?>
<ds:datastoreItem xmlns:ds="http://schemas.openxmlformats.org/officeDocument/2006/customXml" ds:itemID="{894E6965-639A-4429-81F7-7148D1526D5F}"/>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