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monoï rosé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geranyl acetate; geraniol; benzyl salicylate; linalyl acetate; linalool;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(ATE=1610 mg/kg)</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Orangée.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de poids corporel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de poids corporel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monoï rosé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monoï rosé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linalyl acetate ; linalool ; d-limonene ; 2-phenylethanol ; nerol ; [3R-(3α,3aβ,6α,7β,8aα)]-octahydro-3,6,8,8-tetramethyl-1H-3a,7-methanoazulen-5-yl acetate ; p-methoxybenzyl acetate ; benzyl alcohol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monoï rosé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monoï rosé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30/07/2026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C2CAB12-8B50-4BB8-AAAB-68D410CD5ECE}"/>
</file>

<file path=customXml/itemProps3.xml><?xml version="1.0" encoding="utf-8"?>
<ds:datastoreItem xmlns:ds="http://schemas.openxmlformats.org/officeDocument/2006/customXml" ds:itemID="{AF6DD610-2F28-4BFD-86ED-856FEE9AC494}"/>
</file>

<file path=customXml/itemProps4.xml><?xml version="1.0" encoding="utf-8"?>
<ds:datastoreItem xmlns:ds="http://schemas.openxmlformats.org/officeDocument/2006/customXml" ds:itemID="{C75CBFA9-3CD0-4049-8203-75E472DA1672}"/>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