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monoï coco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benzyl alcohol, HYDROXYCITRONELLAL, linalool, coumarin, HEXYL CINNAMAL, benzyl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(ATE=1570 mg/kg)</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 tubéreuse. noix de coco.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monoï coco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monoï coco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benzyl alcohol, HYDROXYCITRONELLAL, linalool, coumarin, HEXYL CINNAMAL, benzyl salicylate.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monoï coco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monoï coco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48CFEDA-6DE6-4333-AA9E-E80CBB3F8949}"/>
</file>

<file path=customXml/itemProps3.xml><?xml version="1.0" encoding="utf-8"?>
<ds:datastoreItem xmlns:ds="http://schemas.openxmlformats.org/officeDocument/2006/customXml" ds:itemID="{9B7EFD44-87B5-4C87-8D89-EC57872C0FA8}"/>
</file>

<file path=customXml/itemProps4.xml><?xml version="1.0" encoding="utf-8"?>
<ds:datastoreItem xmlns:ds="http://schemas.openxmlformats.org/officeDocument/2006/customXml" ds:itemID="{BB54D856-7D24-4C40-A5B6-DEB2B9B60BE2}"/>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