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des lésions oculaires graves.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α-hexylcinnamaldehyde; geraniol; 7-hydroxycitronellal; linalyl acetate; benzyl salicylate; 3-methyl-4-(2,6,6-trimethyl-2-cyclohexen-1-yl)-3-buten-2-one; linalool; 2-benzylideneheptanal; Alcool benzylique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(ATE=887 mg/kg de poids corporel)</w:t>
              <w:br/>
              <w:t>Eye Dam. 1, H318</w:t>
              <w:br/>
              <w:t>Repr. 2, H361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Acute Tox. 4 (par inhalation), H332 (ATE=1,5 mg/l/4h)</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Appeler immédiatement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Lésions oculaires graves.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noix de coco. tubéreuse. Fruitée.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de poids corporel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de poids corporel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de poids corporel Animal: rat, Guideline: OECD Guideline 401 (Acute Oral Toxicity), 95% CL: 3190 - 4370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de poids corporel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geraniol ; 7-hydroxycitronellal ; linalyl acetate ; benzyl salicylate ; methyl salicylate ; 3-methyl-4-(2,6,6-trimethyl-2-cyclohexen-1-yl)-3-buten-2-one ; linalool ; 2-benzylideneheptanal ; Alcool benzylique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274CB12-95BA-4F06-BFA0-D56C0CE4E672}"/>
</file>

<file path=customXml/itemProps3.xml><?xml version="1.0" encoding="utf-8"?>
<ds:datastoreItem xmlns:ds="http://schemas.openxmlformats.org/officeDocument/2006/customXml" ds:itemID="{DA2B3564-0208-4165-B010-27183E96456C}"/>
</file>

<file path=customXml/itemProps4.xml><?xml version="1.0" encoding="utf-8"?>
<ds:datastoreItem xmlns:ds="http://schemas.openxmlformats.org/officeDocument/2006/customXml" ds:itemID="{5BECA023-061A-4E7F-8435-59F7BABC5FC6}"/>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