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mon doudou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4-tert-butylcyclohexyl acetate; benzyl salicylate; 3-(p-cumenyl)propionaldehyde; 1-(2,6,6-trimethyl-3-cyclohexen-1-yl)-2-buten-1-one; alpha-iso-methylionone; α-hexylcinnamaldehyde; 1-(1,2,3,4,5,6,7,8-octahydro-2,3,8,8-tetramethyl-2-naphthyl)ethan-1-one;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112-44-7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203-972-6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7775-00-0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231-885-3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Acute 1, H400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Aldéhyde. Florale. Fraiche.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undecanal (112-44-7)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de poids corporel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3-(p-cumenyl)propionaldehyde (7775-00-0)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 Guideline: EU Method B.1 tris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de poids corporel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undecanal (112-44-7)</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100 mg/kg de poids corporel Animal: rat, Guideline: OECD Guideline 422 (Combined Repeated Dose Toxicity Study with the Reproduction / Developmental Toxicity Screening Test), Guideline: other:</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567,0369 mg/kg de poids corporel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mon doudou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undecanal (112-44-7)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1,97 mg/l Test organisms (species): other:</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1459 μg/l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3-(p-cumenyl)propionaldehyde (7775-00-0)</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mon doudou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undecanal (112-44-7)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3-(p-cumenyl)propionaldehyde (7775-00-0)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undecanal ; 4-tert-butylcyclohexyl acetate ; benzyl benzoate ; 3-(p-cumenyl)propionaldehyde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undecanal ; benzyl benzoate ; 3-(p-cumenyl)propionaldehyde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mon doudou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mon doudou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CAA06EF-F614-422B-A186-63E3A9CE72DE}"/>
</file>

<file path=customXml/itemProps3.xml><?xml version="1.0" encoding="utf-8"?>
<ds:datastoreItem xmlns:ds="http://schemas.openxmlformats.org/officeDocument/2006/customXml" ds:itemID="{C02D0D63-2F93-414C-A833-C655623D85CD}"/>
</file>

<file path=customXml/itemProps4.xml><?xml version="1.0" encoding="utf-8"?>
<ds:datastoreItem xmlns:ds="http://schemas.openxmlformats.org/officeDocument/2006/customXml" ds:itemID="{16A1105A-AD8D-4666-B582-BFBC5C2CF6D5}"/>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